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9F48" w14:textId="57029304" w:rsidR="006F5A9F" w:rsidRDefault="006F5A9F" w:rsidP="002F09D3">
      <w:pPr>
        <w:jc w:val="center"/>
        <w:rPr>
          <w:b/>
          <w:sz w:val="32"/>
          <w:szCs w:val="32"/>
        </w:rPr>
      </w:pPr>
    </w:p>
    <w:p w14:paraId="503CD2C6" w14:textId="63084ECB" w:rsidR="00890793" w:rsidRPr="00601B45" w:rsidRDefault="0071629D" w:rsidP="002F09D3">
      <w:pPr>
        <w:jc w:val="center"/>
        <w:rPr>
          <w:b/>
          <w:sz w:val="32"/>
          <w:szCs w:val="32"/>
        </w:rPr>
      </w:pPr>
      <w:r w:rsidRPr="00601B45">
        <w:rPr>
          <w:b/>
          <w:sz w:val="32"/>
          <w:szCs w:val="32"/>
        </w:rPr>
        <w:t>IL</w:t>
      </w:r>
      <w:r w:rsidR="00673509">
        <w:rPr>
          <w:b/>
          <w:sz w:val="32"/>
          <w:szCs w:val="32"/>
        </w:rPr>
        <w:t>HIC KEY BILLS</w:t>
      </w:r>
      <w:r w:rsidR="004E700B">
        <w:rPr>
          <w:b/>
          <w:sz w:val="32"/>
          <w:szCs w:val="32"/>
        </w:rPr>
        <w:t>- PASSED BOTH HOUSES</w:t>
      </w:r>
      <w:r w:rsidR="00673509">
        <w:rPr>
          <w:b/>
          <w:sz w:val="32"/>
          <w:szCs w:val="32"/>
        </w:rPr>
        <w:t xml:space="preserve"> </w:t>
      </w:r>
      <w:r w:rsidR="00673509" w:rsidRPr="0057663A">
        <w:rPr>
          <w:b/>
          <w:sz w:val="32"/>
          <w:szCs w:val="32"/>
        </w:rPr>
        <w:t>–</w:t>
      </w:r>
      <w:r w:rsidR="00D26290" w:rsidRPr="0057663A">
        <w:rPr>
          <w:b/>
          <w:sz w:val="32"/>
          <w:szCs w:val="32"/>
        </w:rPr>
        <w:t xml:space="preserve"> </w:t>
      </w:r>
      <w:r w:rsidR="006B71B5">
        <w:rPr>
          <w:b/>
          <w:sz w:val="32"/>
          <w:szCs w:val="32"/>
        </w:rPr>
        <w:t>6-</w:t>
      </w:r>
      <w:r w:rsidR="00C17B84">
        <w:rPr>
          <w:b/>
          <w:sz w:val="32"/>
          <w:szCs w:val="32"/>
        </w:rPr>
        <w:t>24</w:t>
      </w:r>
      <w:r w:rsidR="00CF7BF9">
        <w:rPr>
          <w:b/>
          <w:sz w:val="32"/>
          <w:szCs w:val="32"/>
        </w:rPr>
        <w:t>-</w:t>
      </w:r>
      <w:r w:rsidR="00E73EC8">
        <w:rPr>
          <w:b/>
          <w:sz w:val="32"/>
          <w:szCs w:val="32"/>
        </w:rPr>
        <w:t>2021</w:t>
      </w:r>
    </w:p>
    <w:tbl>
      <w:tblPr>
        <w:tblStyle w:val="TableGrid"/>
        <w:tblW w:w="14485" w:type="dxa"/>
        <w:tblLook w:val="04A0" w:firstRow="1" w:lastRow="0" w:firstColumn="1" w:lastColumn="0" w:noHBand="0" w:noVBand="1"/>
      </w:tblPr>
      <w:tblGrid>
        <w:gridCol w:w="2340"/>
        <w:gridCol w:w="6508"/>
        <w:gridCol w:w="2421"/>
        <w:gridCol w:w="3216"/>
      </w:tblGrid>
      <w:tr w:rsidR="00180ADD" w14:paraId="0FC3E3F7" w14:textId="77777777" w:rsidTr="0069444C">
        <w:trPr>
          <w:tblHeader/>
        </w:trPr>
        <w:tc>
          <w:tcPr>
            <w:tcW w:w="1861" w:type="dxa"/>
            <w:shd w:val="clear" w:color="auto" w:fill="auto"/>
          </w:tcPr>
          <w:p w14:paraId="6654C745" w14:textId="4EACD845" w:rsidR="0071629D" w:rsidRPr="00601B45" w:rsidRDefault="00601B45" w:rsidP="0071629D">
            <w:pPr>
              <w:jc w:val="center"/>
              <w:rPr>
                <w:b/>
                <w:sz w:val="28"/>
                <w:szCs w:val="28"/>
                <w:u w:val="single"/>
              </w:rPr>
            </w:pPr>
            <w:r w:rsidRPr="00601B45">
              <w:rPr>
                <w:b/>
                <w:sz w:val="28"/>
                <w:szCs w:val="28"/>
                <w:u w:val="single"/>
              </w:rPr>
              <w:t>Bill Number</w:t>
            </w:r>
          </w:p>
        </w:tc>
        <w:tc>
          <w:tcPr>
            <w:tcW w:w="6781" w:type="dxa"/>
            <w:shd w:val="clear" w:color="auto" w:fill="auto"/>
          </w:tcPr>
          <w:p w14:paraId="5D6D9262" w14:textId="1041EE81" w:rsidR="0071629D" w:rsidRPr="00601B45" w:rsidRDefault="00601B45" w:rsidP="0071629D">
            <w:pPr>
              <w:jc w:val="center"/>
              <w:rPr>
                <w:b/>
                <w:sz w:val="28"/>
                <w:szCs w:val="28"/>
                <w:u w:val="single"/>
              </w:rPr>
            </w:pPr>
            <w:r>
              <w:rPr>
                <w:b/>
                <w:sz w:val="28"/>
                <w:szCs w:val="28"/>
                <w:u w:val="single"/>
              </w:rPr>
              <w:t>Bill Description</w:t>
            </w:r>
            <w:r w:rsidR="004256A7">
              <w:rPr>
                <w:b/>
                <w:sz w:val="28"/>
                <w:szCs w:val="28"/>
                <w:u w:val="single"/>
              </w:rPr>
              <w:t>/Action</w:t>
            </w:r>
          </w:p>
        </w:tc>
        <w:tc>
          <w:tcPr>
            <w:tcW w:w="2490" w:type="dxa"/>
            <w:shd w:val="clear" w:color="auto" w:fill="auto"/>
          </w:tcPr>
          <w:p w14:paraId="4F959E28" w14:textId="11BA862F" w:rsidR="0071629D" w:rsidRPr="00601B45" w:rsidRDefault="00601B45" w:rsidP="0071629D">
            <w:pPr>
              <w:jc w:val="center"/>
              <w:rPr>
                <w:b/>
                <w:sz w:val="28"/>
                <w:szCs w:val="28"/>
                <w:u w:val="single"/>
              </w:rPr>
            </w:pPr>
            <w:r>
              <w:rPr>
                <w:b/>
                <w:sz w:val="28"/>
                <w:szCs w:val="28"/>
                <w:u w:val="single"/>
              </w:rPr>
              <w:t>IL</w:t>
            </w:r>
            <w:r w:rsidR="00962ED5">
              <w:rPr>
                <w:b/>
                <w:sz w:val="28"/>
                <w:szCs w:val="28"/>
                <w:u w:val="single"/>
              </w:rPr>
              <w:t>H</w:t>
            </w:r>
            <w:r>
              <w:rPr>
                <w:b/>
                <w:sz w:val="28"/>
                <w:szCs w:val="28"/>
                <w:u w:val="single"/>
              </w:rPr>
              <w:t>IC Position</w:t>
            </w:r>
          </w:p>
        </w:tc>
        <w:tc>
          <w:tcPr>
            <w:tcW w:w="3353" w:type="dxa"/>
            <w:shd w:val="clear" w:color="auto" w:fill="auto"/>
          </w:tcPr>
          <w:p w14:paraId="39E1353B" w14:textId="726C1482" w:rsidR="0071629D" w:rsidRPr="00601B45" w:rsidRDefault="00601B45" w:rsidP="0071629D">
            <w:pPr>
              <w:jc w:val="center"/>
              <w:rPr>
                <w:b/>
                <w:sz w:val="28"/>
                <w:szCs w:val="28"/>
                <w:u w:val="single"/>
              </w:rPr>
            </w:pPr>
            <w:r>
              <w:rPr>
                <w:b/>
                <w:sz w:val="28"/>
                <w:szCs w:val="28"/>
                <w:u w:val="single"/>
              </w:rPr>
              <w:t>Status</w:t>
            </w:r>
          </w:p>
        </w:tc>
      </w:tr>
      <w:tr w:rsidR="00180ADD" w:rsidRPr="008053E4" w14:paraId="20C303F4" w14:textId="77777777" w:rsidTr="0069444C">
        <w:tc>
          <w:tcPr>
            <w:tcW w:w="1861" w:type="dxa"/>
            <w:shd w:val="clear" w:color="auto" w:fill="auto"/>
          </w:tcPr>
          <w:p w14:paraId="1729AAB9" w14:textId="65930345" w:rsidR="00BE19BB" w:rsidRDefault="00AB3D6F" w:rsidP="00D26290">
            <w:pPr>
              <w:jc w:val="center"/>
            </w:pPr>
            <w:hyperlink r:id="rId8" w:history="1">
              <w:r w:rsidR="006B7D26">
                <w:rPr>
                  <w:rStyle w:val="Hyperlink"/>
                </w:rPr>
                <w:t>HB 33 (Mason)</w:t>
              </w:r>
            </w:hyperlink>
            <w:r w:rsidR="00437D4D">
              <w:rPr>
                <w:rStyle w:val="Hyperlink"/>
              </w:rPr>
              <w:t xml:space="preserve"> (Johnson)</w:t>
            </w:r>
          </w:p>
        </w:tc>
        <w:tc>
          <w:tcPr>
            <w:tcW w:w="6781" w:type="dxa"/>
            <w:shd w:val="clear" w:color="auto" w:fill="auto"/>
          </w:tcPr>
          <w:p w14:paraId="13656A18" w14:textId="01265AFD" w:rsidR="001A05F5" w:rsidRPr="004E700B" w:rsidRDefault="004E700B" w:rsidP="00E06900">
            <w:pPr>
              <w:rPr>
                <w:rFonts w:cstheme="minorHAnsi"/>
                <w:color w:val="000000"/>
                <w:shd w:val="clear" w:color="auto" w:fill="FFFFFF"/>
              </w:rPr>
            </w:pPr>
            <w:r w:rsidRPr="004E700B">
              <w:rPr>
                <w:rFonts w:cstheme="minorHAnsi"/>
                <w:color w:val="000000"/>
                <w:shd w:val="clear" w:color="auto" w:fill="FFFFFF"/>
              </w:rPr>
              <w:t xml:space="preserve">As amended, </w:t>
            </w:r>
            <w:r w:rsidR="00E06900" w:rsidRPr="004E700B">
              <w:rPr>
                <w:rFonts w:cstheme="minorHAnsi"/>
                <w:color w:val="000000"/>
                <w:shd w:val="clear" w:color="auto" w:fill="FFFFFF"/>
              </w:rPr>
              <w:t>Provides that a company authorized to transact life insurance in the State may not, based solely on whether an individual has participated in a substance use treatment or recovery support program no less than 5 years before application or whether an individual has been prescribed or has obtained through a standing order an opioid antagonist, deny coverage to an individual; limit the amount, extent, or kind of coverage available to the individual; or charge the individual or a group to which the individual belongs a rate that is different from the rate charged to other individuals or groups for the same coverage unless the charge is based on sound underwriting or actuarial principles reasonably related to actual or anticipated loss experience for a particular risk.</w:t>
            </w:r>
          </w:p>
          <w:p w14:paraId="34873D12" w14:textId="28082137" w:rsidR="00E06900" w:rsidRPr="003E55CC" w:rsidRDefault="00E06900" w:rsidP="00E06900">
            <w:pPr>
              <w:rPr>
                <w:rFonts w:ascii="Arial" w:hAnsi="Arial" w:cs="Arial"/>
                <w:i/>
                <w:iCs/>
                <w:color w:val="000000"/>
                <w:sz w:val="20"/>
                <w:szCs w:val="20"/>
                <w:shd w:val="clear" w:color="auto" w:fill="FFFFFF"/>
              </w:rPr>
            </w:pPr>
            <w:r w:rsidRPr="003E55CC">
              <w:rPr>
                <w:rFonts w:cstheme="minorHAnsi"/>
                <w:i/>
                <w:iCs/>
                <w:color w:val="000000"/>
                <w:shd w:val="clear" w:color="auto" w:fill="FFFFFF"/>
              </w:rPr>
              <w:t xml:space="preserve"> </w:t>
            </w:r>
            <w:r w:rsidRPr="003E55CC">
              <w:rPr>
                <w:rFonts w:cstheme="minorHAnsi"/>
                <w:b/>
                <w:bCs/>
                <w:i/>
                <w:iCs/>
                <w:color w:val="000000"/>
                <w:shd w:val="clear" w:color="auto" w:fill="FFFFFF"/>
              </w:rPr>
              <w:t>Effective J</w:t>
            </w:r>
            <w:r w:rsidRPr="003E55CC">
              <w:rPr>
                <w:rFonts w:cstheme="minorHAnsi"/>
                <w:b/>
                <w:bCs/>
                <w:i/>
                <w:iCs/>
              </w:rPr>
              <w:t>an</w:t>
            </w:r>
            <w:r w:rsidR="001A05F5" w:rsidRPr="003E55CC">
              <w:rPr>
                <w:rFonts w:cstheme="minorHAnsi"/>
                <w:b/>
                <w:bCs/>
                <w:i/>
                <w:iCs/>
              </w:rPr>
              <w:t>uary</w:t>
            </w:r>
            <w:r w:rsidRPr="003E55CC">
              <w:rPr>
                <w:rFonts w:cstheme="minorHAnsi"/>
                <w:b/>
                <w:bCs/>
                <w:i/>
                <w:iCs/>
              </w:rPr>
              <w:t xml:space="preserve"> 1, 202</w:t>
            </w:r>
            <w:r w:rsidR="001D5A02" w:rsidRPr="003E55CC">
              <w:rPr>
                <w:rFonts w:cstheme="minorHAnsi"/>
                <w:b/>
                <w:bCs/>
                <w:i/>
                <w:iCs/>
              </w:rPr>
              <w:t>2</w:t>
            </w:r>
          </w:p>
        </w:tc>
        <w:tc>
          <w:tcPr>
            <w:tcW w:w="2490" w:type="dxa"/>
            <w:shd w:val="clear" w:color="auto" w:fill="auto"/>
          </w:tcPr>
          <w:p w14:paraId="433EA86A" w14:textId="459D8D37" w:rsidR="006B7D26" w:rsidRDefault="004E700B" w:rsidP="004E700B">
            <w:pPr>
              <w:jc w:val="center"/>
              <w:rPr>
                <w:b/>
                <w:sz w:val="28"/>
                <w:szCs w:val="28"/>
              </w:rPr>
            </w:pPr>
            <w:r>
              <w:rPr>
                <w:b/>
                <w:sz w:val="28"/>
                <w:szCs w:val="28"/>
              </w:rPr>
              <w:t>NEUTRAL AS AMENDED</w:t>
            </w:r>
          </w:p>
        </w:tc>
        <w:tc>
          <w:tcPr>
            <w:tcW w:w="3353" w:type="dxa"/>
            <w:shd w:val="clear" w:color="auto" w:fill="auto"/>
          </w:tcPr>
          <w:p w14:paraId="55CFD248" w14:textId="175B5F31" w:rsidR="00E06900" w:rsidRPr="008053E4" w:rsidRDefault="00C13677" w:rsidP="00D26290">
            <w:pPr>
              <w:jc w:val="center"/>
              <w:rPr>
                <w:rFonts w:cstheme="minorHAnsi"/>
                <w:b/>
              </w:rPr>
            </w:pPr>
            <w:r>
              <w:rPr>
                <w:rFonts w:cstheme="minorHAnsi"/>
                <w:b/>
              </w:rPr>
              <w:t>SENT TO GOVERNOR</w:t>
            </w:r>
          </w:p>
        </w:tc>
      </w:tr>
      <w:tr w:rsidR="000803D0" w:rsidRPr="008053E4" w14:paraId="5AA39693" w14:textId="77777777" w:rsidTr="0069444C">
        <w:tc>
          <w:tcPr>
            <w:tcW w:w="1861" w:type="dxa"/>
            <w:shd w:val="clear" w:color="auto" w:fill="auto"/>
          </w:tcPr>
          <w:p w14:paraId="5B1B8351" w14:textId="77777777" w:rsidR="000803D0" w:rsidRDefault="00AB3D6F" w:rsidP="00D26290">
            <w:pPr>
              <w:jc w:val="center"/>
              <w:rPr>
                <w:rStyle w:val="Hyperlink"/>
              </w:rPr>
            </w:pPr>
            <w:hyperlink r:id="rId9" w:history="1">
              <w:r w:rsidR="000803D0">
                <w:rPr>
                  <w:rStyle w:val="Hyperlink"/>
                </w:rPr>
                <w:t>HB 53 (Andrade)</w:t>
              </w:r>
            </w:hyperlink>
          </w:p>
          <w:p w14:paraId="4D1FAD1E" w14:textId="69A7B6ED" w:rsidR="008E0315" w:rsidRDefault="008E0315" w:rsidP="00D26290">
            <w:pPr>
              <w:jc w:val="center"/>
            </w:pPr>
            <w:r>
              <w:rPr>
                <w:rStyle w:val="Hyperlink"/>
              </w:rPr>
              <w:t>(</w:t>
            </w:r>
            <w:r w:rsidR="00327FE2">
              <w:rPr>
                <w:rStyle w:val="Hyperlink"/>
              </w:rPr>
              <w:t>Connor)</w:t>
            </w:r>
          </w:p>
        </w:tc>
        <w:tc>
          <w:tcPr>
            <w:tcW w:w="6781" w:type="dxa"/>
            <w:shd w:val="clear" w:color="auto" w:fill="auto"/>
          </w:tcPr>
          <w:p w14:paraId="131F1289" w14:textId="77777777" w:rsidR="0083094E" w:rsidRDefault="000803D0" w:rsidP="00F77001">
            <w:pPr>
              <w:rPr>
                <w:rStyle w:val="HTMLCode"/>
                <w:rFonts w:asciiTheme="minorHAnsi" w:eastAsiaTheme="minorHAnsi" w:hAnsiTheme="minorHAnsi" w:cstheme="minorHAnsi"/>
                <w:b/>
                <w:bCs/>
                <w:i/>
                <w:iCs/>
                <w:color w:val="000000"/>
                <w:sz w:val="22"/>
                <w:szCs w:val="22"/>
                <w:shd w:val="clear" w:color="auto" w:fill="FFFFFF"/>
              </w:rPr>
            </w:pPr>
            <w:r w:rsidRPr="000803D0">
              <w:rPr>
                <w:rStyle w:val="HTMLCode"/>
                <w:rFonts w:asciiTheme="minorHAnsi" w:eastAsiaTheme="minorHAnsi" w:hAnsiTheme="minorHAnsi" w:cstheme="minorHAnsi"/>
                <w:color w:val="000000"/>
                <w:sz w:val="22"/>
                <w:szCs w:val="22"/>
                <w:shd w:val="clear" w:color="auto" w:fill="FFFFFF"/>
              </w:rPr>
              <w:t xml:space="preserve">Provides </w:t>
            </w:r>
            <w:proofErr w:type="gramStart"/>
            <w:r w:rsidRPr="000803D0">
              <w:rPr>
                <w:rStyle w:val="HTMLCode"/>
                <w:rFonts w:asciiTheme="minorHAnsi" w:eastAsiaTheme="minorHAnsi" w:hAnsiTheme="minorHAnsi" w:cstheme="minorHAnsi"/>
                <w:color w:val="000000"/>
                <w:sz w:val="22"/>
                <w:szCs w:val="22"/>
                <w:shd w:val="clear" w:color="auto" w:fill="FFFFFF"/>
              </w:rPr>
              <w:t>that employers</w:t>
            </w:r>
            <w:proofErr w:type="gramEnd"/>
            <w:r w:rsidRPr="000803D0">
              <w:rPr>
                <w:rStyle w:val="HTMLCode"/>
                <w:rFonts w:asciiTheme="minorHAnsi" w:eastAsiaTheme="minorHAnsi" w:hAnsiTheme="minorHAnsi" w:cstheme="minorHAnsi"/>
                <w:color w:val="000000"/>
                <w:sz w:val="22"/>
                <w:szCs w:val="22"/>
                <w:shd w:val="clear" w:color="auto" w:fill="FFFFFF"/>
              </w:rPr>
              <w:t xml:space="preserve"> that rely solely upon artificial intelligence to determine whether an applicant will qualify for an in-person interview must gather and report certain demographic information to the Department of Commerce and Economic Opportunity. Requires the Department to analyze the data and report to the Governor and General Assembly whether the data discloses a racial bias in the use of artificial intelligence</w:t>
            </w:r>
            <w:r w:rsidRPr="00E06900">
              <w:rPr>
                <w:rStyle w:val="HTMLCode"/>
                <w:rFonts w:asciiTheme="minorHAnsi" w:eastAsiaTheme="minorHAnsi" w:hAnsiTheme="minorHAnsi" w:cstheme="minorHAnsi"/>
                <w:b/>
                <w:bCs/>
                <w:i/>
                <w:iCs/>
                <w:color w:val="000000"/>
                <w:sz w:val="22"/>
                <w:szCs w:val="22"/>
                <w:shd w:val="clear" w:color="auto" w:fill="FFFFFF"/>
              </w:rPr>
              <w:t>.</w:t>
            </w:r>
            <w:r w:rsidR="00E06900" w:rsidRPr="00E06900">
              <w:rPr>
                <w:rStyle w:val="HTMLCode"/>
                <w:rFonts w:asciiTheme="minorHAnsi" w:eastAsiaTheme="minorHAnsi" w:hAnsiTheme="minorHAnsi" w:cstheme="minorHAnsi"/>
                <w:b/>
                <w:bCs/>
                <w:i/>
                <w:iCs/>
                <w:color w:val="000000"/>
                <w:sz w:val="22"/>
                <w:szCs w:val="22"/>
                <w:shd w:val="clear" w:color="auto" w:fill="FFFFFF"/>
              </w:rPr>
              <w:t xml:space="preserve">   </w:t>
            </w:r>
          </w:p>
          <w:p w14:paraId="534123CD" w14:textId="3A20B07A" w:rsidR="000803D0" w:rsidRPr="000803D0" w:rsidRDefault="00E06900" w:rsidP="00F77001">
            <w:pPr>
              <w:rPr>
                <w:rFonts w:cstheme="minorHAnsi"/>
              </w:rPr>
            </w:pPr>
            <w:r w:rsidRPr="00E06900">
              <w:rPr>
                <w:rStyle w:val="HTMLCode"/>
                <w:rFonts w:asciiTheme="minorHAnsi" w:eastAsiaTheme="minorHAnsi" w:hAnsiTheme="minorHAnsi" w:cstheme="minorHAnsi"/>
                <w:b/>
                <w:bCs/>
                <w:i/>
                <w:iCs/>
                <w:color w:val="000000"/>
                <w:sz w:val="22"/>
                <w:szCs w:val="22"/>
                <w:shd w:val="clear" w:color="auto" w:fill="FFFFFF"/>
              </w:rPr>
              <w:t>Effective January 1, 2022</w:t>
            </w:r>
          </w:p>
        </w:tc>
        <w:tc>
          <w:tcPr>
            <w:tcW w:w="2490" w:type="dxa"/>
            <w:shd w:val="clear" w:color="auto" w:fill="auto"/>
          </w:tcPr>
          <w:p w14:paraId="05074964" w14:textId="2A42EDA7" w:rsidR="000803D0" w:rsidRDefault="000803D0" w:rsidP="00F77001">
            <w:pPr>
              <w:jc w:val="center"/>
              <w:rPr>
                <w:b/>
                <w:sz w:val="28"/>
                <w:szCs w:val="28"/>
              </w:rPr>
            </w:pPr>
            <w:r>
              <w:rPr>
                <w:b/>
                <w:sz w:val="28"/>
                <w:szCs w:val="28"/>
              </w:rPr>
              <w:t>MONITOR</w:t>
            </w:r>
          </w:p>
        </w:tc>
        <w:tc>
          <w:tcPr>
            <w:tcW w:w="3353" w:type="dxa"/>
            <w:shd w:val="clear" w:color="auto" w:fill="auto"/>
          </w:tcPr>
          <w:p w14:paraId="0397339C" w14:textId="0A12389F" w:rsidR="00F86950" w:rsidRDefault="00572DE5" w:rsidP="00D26290">
            <w:pPr>
              <w:jc w:val="center"/>
              <w:rPr>
                <w:rFonts w:cstheme="minorHAnsi"/>
                <w:b/>
              </w:rPr>
            </w:pPr>
            <w:r>
              <w:rPr>
                <w:rFonts w:cstheme="minorHAnsi"/>
                <w:b/>
              </w:rPr>
              <w:t>SENT TO GOVERNOR</w:t>
            </w:r>
          </w:p>
        </w:tc>
      </w:tr>
      <w:tr w:rsidR="00233ADA" w:rsidRPr="008053E4" w14:paraId="4FBCAD3B" w14:textId="77777777" w:rsidTr="0069444C">
        <w:tc>
          <w:tcPr>
            <w:tcW w:w="1861" w:type="dxa"/>
            <w:shd w:val="clear" w:color="auto" w:fill="auto"/>
          </w:tcPr>
          <w:p w14:paraId="7DFE0B6C" w14:textId="405C050C" w:rsidR="00233ADA" w:rsidRDefault="00AB3D6F" w:rsidP="00D26290">
            <w:pPr>
              <w:jc w:val="center"/>
              <w:rPr>
                <w:rStyle w:val="Hyperlink"/>
              </w:rPr>
            </w:pPr>
            <w:hyperlink r:id="rId10" w:history="1">
              <w:r w:rsidR="00D8444E">
                <w:rPr>
                  <w:rStyle w:val="Hyperlink"/>
                </w:rPr>
                <w:t>HB 117 (Guzzardi)</w:t>
              </w:r>
            </w:hyperlink>
          </w:p>
          <w:p w14:paraId="02A74EF6" w14:textId="16A483AB" w:rsidR="00FF3C1D" w:rsidRDefault="00FF3C1D" w:rsidP="00D26290">
            <w:pPr>
              <w:jc w:val="center"/>
            </w:pPr>
            <w:r>
              <w:rPr>
                <w:rStyle w:val="Hyperlink"/>
              </w:rPr>
              <w:t>(</w:t>
            </w:r>
            <w:proofErr w:type="spellStart"/>
            <w:r>
              <w:rPr>
                <w:rStyle w:val="Hyperlink"/>
              </w:rPr>
              <w:t>Martwick</w:t>
            </w:r>
            <w:proofErr w:type="spellEnd"/>
            <w:r>
              <w:rPr>
                <w:rStyle w:val="Hyperlink"/>
              </w:rPr>
              <w:t>)</w:t>
            </w:r>
          </w:p>
        </w:tc>
        <w:tc>
          <w:tcPr>
            <w:tcW w:w="6781" w:type="dxa"/>
            <w:shd w:val="clear" w:color="auto" w:fill="auto"/>
          </w:tcPr>
          <w:p w14:paraId="1E347241" w14:textId="79996AD4" w:rsidR="00A90A83" w:rsidRPr="004E700B" w:rsidRDefault="00947990" w:rsidP="00AF01B9">
            <w:pPr>
              <w:rPr>
                <w:rFonts w:ascii="Calibri" w:hAnsi="Calibri" w:cs="Calibri"/>
              </w:rPr>
            </w:pPr>
            <w:r w:rsidRPr="004E700B">
              <w:t xml:space="preserve">As amended, </w:t>
            </w:r>
            <w:r w:rsidR="00E86754" w:rsidRPr="004E700B">
              <w:rPr>
                <w:rFonts w:ascii="Calibri" w:hAnsi="Calibri" w:cs="Calibri"/>
              </w:rPr>
              <w:t>expands the Secure Choice Savings Program</w:t>
            </w:r>
            <w:r w:rsidRPr="004E700B">
              <w:rPr>
                <w:rFonts w:ascii="Calibri" w:hAnsi="Calibri" w:cs="Calibri"/>
              </w:rPr>
              <w:t xml:space="preserve"> </w:t>
            </w:r>
            <w:r w:rsidR="00E86754" w:rsidRPr="004E700B">
              <w:rPr>
                <w:rFonts w:ascii="Calibri" w:hAnsi="Calibri" w:cs="Calibri"/>
              </w:rPr>
              <w:t>to apply to employers with a minimum of 5 employees rather than employers with fewer than 25</w:t>
            </w:r>
            <w:r w:rsidR="004E700B" w:rsidRPr="004E700B">
              <w:rPr>
                <w:rFonts w:ascii="Calibri" w:hAnsi="Calibri" w:cs="Calibri"/>
              </w:rPr>
              <w:t xml:space="preserve"> </w:t>
            </w:r>
            <w:r w:rsidR="00E86754" w:rsidRPr="004E700B">
              <w:rPr>
                <w:rFonts w:ascii="Calibri" w:hAnsi="Calibri" w:cs="Calibri"/>
              </w:rPr>
              <w:t>employees) and allows for</w:t>
            </w:r>
            <w:r w:rsidR="00E86754" w:rsidRPr="004E700B">
              <w:rPr>
                <w:rFonts w:cstheme="minorHAnsi"/>
                <w:shd w:val="clear" w:color="auto" w:fill="FFFFFF"/>
              </w:rPr>
              <w:t xml:space="preserve"> </w:t>
            </w:r>
            <w:r w:rsidR="0077306B" w:rsidRPr="004E700B">
              <w:rPr>
                <w:rFonts w:cstheme="minorHAnsi"/>
                <w:shd w:val="clear" w:color="auto" w:fill="FFFFFF"/>
              </w:rPr>
              <w:t xml:space="preserve">(rather than employers with fewer than 25 employees) and allows for automatic increases in contributions.  The provisions also expand the penalties levied on employers for failure to comply with the requirements of the Act.  </w:t>
            </w:r>
          </w:p>
          <w:p w14:paraId="678CEF62" w14:textId="1A573261" w:rsidR="00233ADA" w:rsidRPr="002114FE" w:rsidRDefault="00E06900" w:rsidP="00AF01B9">
            <w:r w:rsidRPr="00E06900">
              <w:rPr>
                <w:rStyle w:val="HTMLCode"/>
                <w:rFonts w:asciiTheme="minorHAnsi" w:eastAsiaTheme="minorHAnsi" w:hAnsiTheme="minorHAnsi" w:cstheme="minorHAnsi"/>
                <w:b/>
                <w:bCs/>
                <w:i/>
                <w:iCs/>
                <w:color w:val="000000"/>
                <w:sz w:val="22"/>
                <w:szCs w:val="22"/>
                <w:shd w:val="clear" w:color="auto" w:fill="FFFFFF"/>
              </w:rPr>
              <w:t xml:space="preserve"> Effective January 1, 2022</w:t>
            </w:r>
          </w:p>
        </w:tc>
        <w:tc>
          <w:tcPr>
            <w:tcW w:w="2490" w:type="dxa"/>
            <w:shd w:val="clear" w:color="auto" w:fill="auto"/>
          </w:tcPr>
          <w:p w14:paraId="41CF631E" w14:textId="6A53BB5A" w:rsidR="00E86754" w:rsidRPr="002114FE" w:rsidRDefault="00E86754" w:rsidP="00E86754">
            <w:pPr>
              <w:autoSpaceDE w:val="0"/>
              <w:autoSpaceDN w:val="0"/>
              <w:adjustRightInd w:val="0"/>
              <w:jc w:val="center"/>
              <w:rPr>
                <w:rFonts w:ascii="Calibri-Bold" w:hAnsi="Calibri-Bold" w:cs="Calibri-Bold"/>
                <w:b/>
                <w:bCs/>
                <w:sz w:val="28"/>
                <w:szCs w:val="28"/>
              </w:rPr>
            </w:pPr>
            <w:r w:rsidRPr="002114FE">
              <w:rPr>
                <w:rFonts w:ascii="Calibri-Bold" w:hAnsi="Calibri-Bold" w:cs="Calibri-Bold"/>
                <w:b/>
                <w:bCs/>
                <w:sz w:val="28"/>
                <w:szCs w:val="28"/>
              </w:rPr>
              <w:t>NEUTRAL</w:t>
            </w:r>
          </w:p>
          <w:p w14:paraId="5DB21FE8" w14:textId="3865DB20" w:rsidR="00E94752" w:rsidRDefault="004E700B" w:rsidP="007C3595">
            <w:pPr>
              <w:autoSpaceDE w:val="0"/>
              <w:autoSpaceDN w:val="0"/>
              <w:adjustRightInd w:val="0"/>
              <w:jc w:val="center"/>
              <w:rPr>
                <w:b/>
                <w:sz w:val="28"/>
                <w:szCs w:val="28"/>
              </w:rPr>
            </w:pPr>
            <w:r>
              <w:rPr>
                <w:b/>
                <w:sz w:val="28"/>
                <w:szCs w:val="28"/>
              </w:rPr>
              <w:t>AS AMENDED</w:t>
            </w:r>
          </w:p>
          <w:p w14:paraId="24C86F67" w14:textId="229232C3" w:rsidR="00E94752" w:rsidRPr="002114FE" w:rsidRDefault="00E94752" w:rsidP="007C3595">
            <w:pPr>
              <w:autoSpaceDE w:val="0"/>
              <w:autoSpaceDN w:val="0"/>
              <w:adjustRightInd w:val="0"/>
              <w:jc w:val="center"/>
              <w:rPr>
                <w:b/>
                <w:sz w:val="28"/>
                <w:szCs w:val="28"/>
              </w:rPr>
            </w:pPr>
          </w:p>
        </w:tc>
        <w:tc>
          <w:tcPr>
            <w:tcW w:w="3353" w:type="dxa"/>
            <w:shd w:val="clear" w:color="auto" w:fill="auto"/>
          </w:tcPr>
          <w:p w14:paraId="38668302" w14:textId="0D2CDA35" w:rsidR="00A61E0D" w:rsidRDefault="00572DE5" w:rsidP="00F77001">
            <w:pPr>
              <w:jc w:val="center"/>
              <w:rPr>
                <w:rFonts w:cstheme="minorHAnsi"/>
                <w:b/>
              </w:rPr>
            </w:pPr>
            <w:r>
              <w:rPr>
                <w:rFonts w:cstheme="minorHAnsi"/>
                <w:b/>
              </w:rPr>
              <w:t xml:space="preserve">SENT TO GOVERNOR </w:t>
            </w:r>
          </w:p>
        </w:tc>
      </w:tr>
      <w:tr w:rsidR="00233ADA" w:rsidRPr="008053E4" w14:paraId="2C685BF4" w14:textId="77777777" w:rsidTr="0069444C">
        <w:tc>
          <w:tcPr>
            <w:tcW w:w="1861" w:type="dxa"/>
            <w:shd w:val="clear" w:color="auto" w:fill="auto"/>
          </w:tcPr>
          <w:p w14:paraId="68FF2235" w14:textId="77777777" w:rsidR="00233ADA" w:rsidRDefault="00AB3D6F" w:rsidP="00D26290">
            <w:pPr>
              <w:jc w:val="center"/>
              <w:rPr>
                <w:rStyle w:val="Hyperlink"/>
              </w:rPr>
            </w:pPr>
            <w:hyperlink r:id="rId11" w:history="1">
              <w:r w:rsidR="00BC1136">
                <w:rPr>
                  <w:rStyle w:val="Hyperlink"/>
                </w:rPr>
                <w:t>HB 135 (</w:t>
              </w:r>
              <w:proofErr w:type="spellStart"/>
              <w:r w:rsidR="00BC1136">
                <w:rPr>
                  <w:rStyle w:val="Hyperlink"/>
                </w:rPr>
                <w:t>Mussman</w:t>
              </w:r>
              <w:proofErr w:type="spellEnd"/>
              <w:r w:rsidR="00BC1136">
                <w:rPr>
                  <w:rStyle w:val="Hyperlink"/>
                </w:rPr>
                <w:t>)</w:t>
              </w:r>
            </w:hyperlink>
          </w:p>
          <w:p w14:paraId="2957C3E8" w14:textId="4A01FDAB" w:rsidR="00242C26" w:rsidRDefault="00242C26" w:rsidP="00D26290">
            <w:pPr>
              <w:jc w:val="center"/>
            </w:pPr>
            <w:r>
              <w:rPr>
                <w:rStyle w:val="Hyperlink"/>
              </w:rPr>
              <w:t>(Bush)</w:t>
            </w:r>
          </w:p>
        </w:tc>
        <w:tc>
          <w:tcPr>
            <w:tcW w:w="6781" w:type="dxa"/>
            <w:shd w:val="clear" w:color="auto" w:fill="auto"/>
          </w:tcPr>
          <w:p w14:paraId="60FFD56B" w14:textId="0009A63D" w:rsidR="00BC1136" w:rsidRDefault="004E700B" w:rsidP="00F77001">
            <w:pPr>
              <w:rPr>
                <w:rFonts w:cstheme="minorHAnsi"/>
                <w:color w:val="000000"/>
                <w:shd w:val="clear" w:color="auto" w:fill="FFFFFF"/>
              </w:rPr>
            </w:pPr>
            <w:r>
              <w:rPr>
                <w:rFonts w:cstheme="minorHAnsi"/>
                <w:color w:val="000000"/>
                <w:shd w:val="clear" w:color="auto" w:fill="FFFFFF"/>
              </w:rPr>
              <w:t>As amended, a</w:t>
            </w:r>
            <w:r w:rsidR="000A1C1A">
              <w:rPr>
                <w:rFonts w:cstheme="minorHAnsi"/>
                <w:color w:val="000000"/>
                <w:shd w:val="clear" w:color="auto" w:fill="FFFFFF"/>
              </w:rPr>
              <w:t xml:space="preserve">uthorizes the IL Department of Public Health to issue a standing order for contraceptives and authorizes a pharmacist to dispense hormonal contraceptives.  The legislation requires health insurers to cover patient care services related to the dispensing of </w:t>
            </w:r>
            <w:r w:rsidR="000A1C1A">
              <w:rPr>
                <w:rFonts w:cstheme="minorHAnsi"/>
                <w:color w:val="000000"/>
                <w:shd w:val="clear" w:color="auto" w:fill="FFFFFF"/>
              </w:rPr>
              <w:lastRenderedPageBreak/>
              <w:t>hormonal contraceptives for pharmacists</w:t>
            </w:r>
            <w:r w:rsidR="003D3FB0">
              <w:rPr>
                <w:rFonts w:cstheme="minorHAnsi"/>
                <w:color w:val="000000"/>
                <w:shd w:val="clear" w:color="auto" w:fill="FFFFFF"/>
              </w:rPr>
              <w:t xml:space="preserve"> </w:t>
            </w:r>
            <w:r w:rsidR="003D3FB0" w:rsidRPr="003D3FB0">
              <w:rPr>
                <w:rFonts w:cstheme="minorHAnsi"/>
                <w:b/>
                <w:bCs/>
                <w:i/>
                <w:iCs/>
                <w:color w:val="000000"/>
                <w:shd w:val="clear" w:color="auto" w:fill="FFFFFF"/>
              </w:rPr>
              <w:t>if certain requirements are met</w:t>
            </w:r>
            <w:r w:rsidR="003D3FB0">
              <w:rPr>
                <w:rFonts w:cstheme="minorHAnsi"/>
                <w:color w:val="000000"/>
                <w:shd w:val="clear" w:color="auto" w:fill="FFFFFF"/>
              </w:rPr>
              <w:t>.</w:t>
            </w:r>
          </w:p>
          <w:p w14:paraId="270368D5" w14:textId="32C08829" w:rsidR="00E06900" w:rsidRPr="00E06900" w:rsidRDefault="00986120" w:rsidP="00F77001">
            <w:pPr>
              <w:rPr>
                <w:i/>
                <w:iCs/>
              </w:rPr>
            </w:pPr>
            <w:r w:rsidRPr="00986120">
              <w:rPr>
                <w:b/>
                <w:bCs/>
                <w:i/>
                <w:iCs/>
              </w:rPr>
              <w:t>E</w:t>
            </w:r>
            <w:r w:rsidR="00E06900" w:rsidRPr="00986120">
              <w:rPr>
                <w:b/>
                <w:bCs/>
                <w:i/>
                <w:iCs/>
              </w:rPr>
              <w:t>ffective January 1, 2023</w:t>
            </w:r>
          </w:p>
        </w:tc>
        <w:tc>
          <w:tcPr>
            <w:tcW w:w="2490" w:type="dxa"/>
            <w:shd w:val="clear" w:color="auto" w:fill="auto"/>
          </w:tcPr>
          <w:p w14:paraId="5958FBF3" w14:textId="55623157" w:rsidR="00B22A70" w:rsidRPr="00E94752" w:rsidRDefault="009D2BFB" w:rsidP="004E700B">
            <w:pPr>
              <w:jc w:val="center"/>
              <w:rPr>
                <w:b/>
                <w:sz w:val="28"/>
                <w:szCs w:val="28"/>
              </w:rPr>
            </w:pPr>
            <w:r w:rsidRPr="00E94752">
              <w:rPr>
                <w:b/>
                <w:sz w:val="28"/>
                <w:szCs w:val="28"/>
              </w:rPr>
              <w:lastRenderedPageBreak/>
              <w:t>NEUTRAL</w:t>
            </w:r>
          </w:p>
          <w:p w14:paraId="48D98D25" w14:textId="0FEDD993" w:rsidR="003D3FB0" w:rsidRPr="009D2BFB" w:rsidRDefault="004E700B" w:rsidP="004E700B">
            <w:pPr>
              <w:jc w:val="center"/>
              <w:rPr>
                <w:b/>
                <w:sz w:val="28"/>
                <w:szCs w:val="28"/>
                <w:u w:val="single"/>
              </w:rPr>
            </w:pPr>
            <w:r>
              <w:rPr>
                <w:b/>
                <w:sz w:val="28"/>
                <w:szCs w:val="28"/>
              </w:rPr>
              <w:t>AS AMENDED</w:t>
            </w:r>
          </w:p>
        </w:tc>
        <w:tc>
          <w:tcPr>
            <w:tcW w:w="3353" w:type="dxa"/>
            <w:shd w:val="clear" w:color="auto" w:fill="auto"/>
          </w:tcPr>
          <w:p w14:paraId="1DF9936C" w14:textId="77777777" w:rsidR="00437D4D" w:rsidRDefault="00E06900" w:rsidP="0058481C">
            <w:pPr>
              <w:jc w:val="center"/>
              <w:rPr>
                <w:b/>
              </w:rPr>
            </w:pPr>
            <w:r>
              <w:rPr>
                <w:rFonts w:cstheme="minorHAnsi"/>
                <w:b/>
              </w:rPr>
              <w:t>P</w:t>
            </w:r>
            <w:r>
              <w:rPr>
                <w:b/>
              </w:rPr>
              <w:t>ASSED</w:t>
            </w:r>
          </w:p>
          <w:p w14:paraId="5D088F25" w14:textId="7EAAEEEC" w:rsidR="00E06900" w:rsidRPr="00A02F95" w:rsidRDefault="00E06900" w:rsidP="0058481C">
            <w:pPr>
              <w:jc w:val="center"/>
              <w:rPr>
                <w:rFonts w:cstheme="minorHAnsi"/>
                <w:b/>
              </w:rPr>
            </w:pPr>
            <w:r>
              <w:rPr>
                <w:b/>
              </w:rPr>
              <w:t>BOTH HOUSES</w:t>
            </w:r>
          </w:p>
        </w:tc>
      </w:tr>
      <w:tr w:rsidR="004E700B" w:rsidRPr="008053E4" w14:paraId="7D536619" w14:textId="77777777" w:rsidTr="0069444C">
        <w:tc>
          <w:tcPr>
            <w:tcW w:w="1861" w:type="dxa"/>
            <w:shd w:val="clear" w:color="auto" w:fill="auto"/>
          </w:tcPr>
          <w:p w14:paraId="79BDDC09" w14:textId="77777777" w:rsidR="004E700B" w:rsidRDefault="00AB3D6F" w:rsidP="00F77001">
            <w:pPr>
              <w:jc w:val="center"/>
              <w:rPr>
                <w:rStyle w:val="Hyperlink"/>
              </w:rPr>
            </w:pPr>
            <w:hyperlink r:id="rId12" w:history="1">
              <w:r w:rsidR="004E700B">
                <w:rPr>
                  <w:rStyle w:val="Hyperlink"/>
                </w:rPr>
                <w:t>HB 711 (G. Harris)</w:t>
              </w:r>
            </w:hyperlink>
          </w:p>
          <w:p w14:paraId="03AF3CB6" w14:textId="77777777" w:rsidR="004E700B" w:rsidRDefault="004E700B" w:rsidP="00F77001">
            <w:pPr>
              <w:jc w:val="center"/>
              <w:rPr>
                <w:rStyle w:val="Hyperlink"/>
              </w:rPr>
            </w:pPr>
            <w:r>
              <w:rPr>
                <w:rStyle w:val="Hyperlink"/>
              </w:rPr>
              <w:t>(Holmes)</w:t>
            </w:r>
          </w:p>
          <w:p w14:paraId="6E0E6A56" w14:textId="4CD09A57" w:rsidR="004E700B" w:rsidRDefault="004E700B" w:rsidP="00D26290">
            <w:pPr>
              <w:jc w:val="center"/>
            </w:pPr>
          </w:p>
        </w:tc>
        <w:tc>
          <w:tcPr>
            <w:tcW w:w="6781" w:type="dxa"/>
            <w:shd w:val="clear" w:color="auto" w:fill="auto"/>
          </w:tcPr>
          <w:p w14:paraId="65F2EA05" w14:textId="17F7E2DA" w:rsidR="00732709" w:rsidRDefault="00732709" w:rsidP="00732709">
            <w:r>
              <w:t>Creates the Prior Authorization Act.  As amended, HB 711:</w:t>
            </w:r>
          </w:p>
          <w:p w14:paraId="6CDAC869" w14:textId="025E005E" w:rsidR="004E700B" w:rsidRDefault="00732709" w:rsidP="00732709">
            <w:r>
              <w:t>Eliminates provisions that would have prohibited application of prior authorization solely on the basis of lack of independently developed, evidence-based standards, the standards conflict, standards from an expert consensus panel do not exist; or if a product or treatment has been recommended by a treating provider for “off label use;” Non-urgent and urgent turn-around-times (TATs) are 5 days and 48 hours, respectively, notwithstanding any other provision of law (acknowledging for other areas of statute that apply different TATs); Establish the personnel requirements for those qualified to make an adverse determination and those who can review appeals to align with existing standards (eliminating previous requirements that the initial determination be made by a physician in active practice and those handling appeals must also be in active practice and not employed by the URO); Eliminate requirements that an insurer and a utilization review organization provide a peer-to-peer prior to denial of a request, as well as eliminate a requirement that the insurer/URO maintain a 24/7 hotline to manage urgent requests; Require prior authorization approvals to remain valid for 6 months (instead of 12) or the length of the treatment as determined by the treating provider (or the renewal of the plan), inclusive of dosage changes; however, dosage increases must be subject to evidentiary standards and insurers are permitted to apply safety edits.; Require prior authorization approvals for chronic or long-term conditions to remain valid for the lesser of 12 months or the length of treatment as determined by the treating provider (with policy exclusions accounted for); Reduce the statistical information insurers and UROs are required to publish on prior authorization to include the number of requests received (instead of approved) and denied in the previous plan year; top 5 reasons for denial; the number of requests appealed and the number of appeal requests that were upheld or overturned; and average time between submission and action taken.</w:t>
            </w:r>
          </w:p>
          <w:p w14:paraId="3A1249DF" w14:textId="6A1BA788" w:rsidR="004E700B" w:rsidRPr="00CE0C93" w:rsidRDefault="004E700B" w:rsidP="00CE0C93">
            <w:pPr>
              <w:rPr>
                <w:rFonts w:cstheme="minorHAnsi"/>
                <w:i/>
                <w:iCs/>
              </w:rPr>
            </w:pPr>
            <w:r w:rsidRPr="00E06900">
              <w:rPr>
                <w:rStyle w:val="HTMLCode"/>
                <w:rFonts w:asciiTheme="minorHAnsi" w:eastAsiaTheme="minorHAnsi" w:hAnsiTheme="minorHAnsi" w:cstheme="minorHAnsi"/>
                <w:b/>
                <w:bCs/>
                <w:i/>
                <w:iCs/>
                <w:color w:val="000000"/>
                <w:sz w:val="22"/>
                <w:szCs w:val="22"/>
                <w:shd w:val="clear" w:color="auto" w:fill="FFFFFF"/>
              </w:rPr>
              <w:t>Effective January 1, 2022</w:t>
            </w:r>
          </w:p>
        </w:tc>
        <w:tc>
          <w:tcPr>
            <w:tcW w:w="2490" w:type="dxa"/>
            <w:shd w:val="clear" w:color="auto" w:fill="auto"/>
          </w:tcPr>
          <w:p w14:paraId="6BC4A9D9" w14:textId="5048CAA7" w:rsidR="004E700B" w:rsidRPr="004E700B" w:rsidRDefault="004E700B" w:rsidP="00F77001">
            <w:pPr>
              <w:jc w:val="center"/>
              <w:rPr>
                <w:b/>
                <w:sz w:val="28"/>
                <w:szCs w:val="28"/>
              </w:rPr>
            </w:pPr>
            <w:r>
              <w:rPr>
                <w:b/>
                <w:sz w:val="28"/>
                <w:szCs w:val="28"/>
              </w:rPr>
              <w:t>NEUTRAL AS AMENDED</w:t>
            </w:r>
          </w:p>
          <w:p w14:paraId="6AA8C7C0" w14:textId="41F6F05C" w:rsidR="004E700B" w:rsidRDefault="004E700B" w:rsidP="00F77001">
            <w:pPr>
              <w:jc w:val="center"/>
              <w:rPr>
                <w:b/>
                <w:sz w:val="28"/>
                <w:szCs w:val="28"/>
              </w:rPr>
            </w:pPr>
          </w:p>
        </w:tc>
        <w:tc>
          <w:tcPr>
            <w:tcW w:w="3353" w:type="dxa"/>
            <w:shd w:val="clear" w:color="auto" w:fill="auto"/>
          </w:tcPr>
          <w:p w14:paraId="6804057C" w14:textId="49097968" w:rsidR="004E700B" w:rsidRPr="008053E4" w:rsidRDefault="00572DE5" w:rsidP="00F20EC4">
            <w:pPr>
              <w:jc w:val="center"/>
              <w:rPr>
                <w:rFonts w:cstheme="minorHAnsi"/>
                <w:b/>
              </w:rPr>
            </w:pPr>
            <w:r>
              <w:rPr>
                <w:rFonts w:cstheme="minorHAnsi"/>
                <w:b/>
              </w:rPr>
              <w:t>SENT TO GOVERNOR</w:t>
            </w:r>
          </w:p>
        </w:tc>
      </w:tr>
      <w:tr w:rsidR="006F0550" w:rsidRPr="008053E4" w14:paraId="281394EF" w14:textId="77777777" w:rsidTr="0069444C">
        <w:tc>
          <w:tcPr>
            <w:tcW w:w="1861" w:type="dxa"/>
            <w:shd w:val="clear" w:color="auto" w:fill="auto"/>
          </w:tcPr>
          <w:p w14:paraId="66164F18" w14:textId="3EEE62DD" w:rsidR="006F0550" w:rsidRDefault="00AB3D6F" w:rsidP="007C3595">
            <w:pPr>
              <w:jc w:val="center"/>
            </w:pPr>
            <w:hyperlink r:id="rId13" w:history="1">
              <w:r w:rsidR="006F0550">
                <w:rPr>
                  <w:rStyle w:val="Hyperlink"/>
                </w:rPr>
                <w:t>HB 816 (</w:t>
              </w:r>
              <w:proofErr w:type="spellStart"/>
              <w:r w:rsidR="006F0550">
                <w:rPr>
                  <w:rStyle w:val="Hyperlink"/>
                </w:rPr>
                <w:t>Mussman</w:t>
              </w:r>
              <w:proofErr w:type="spellEnd"/>
              <w:r w:rsidR="006F0550">
                <w:rPr>
                  <w:rStyle w:val="Hyperlink"/>
                </w:rPr>
                <w:t>/</w:t>
              </w:r>
              <w:proofErr w:type="spellStart"/>
              <w:r w:rsidR="006F0550">
                <w:rPr>
                  <w:rStyle w:val="Hyperlink"/>
                </w:rPr>
                <w:t>Feigenholtz</w:t>
              </w:r>
              <w:proofErr w:type="spellEnd"/>
              <w:r w:rsidR="006F0550">
                <w:rPr>
                  <w:rStyle w:val="Hyperlink"/>
                </w:rPr>
                <w:t>)</w:t>
              </w:r>
            </w:hyperlink>
          </w:p>
          <w:p w14:paraId="1DC83B26" w14:textId="0076BBFB" w:rsidR="006F0550" w:rsidRDefault="006F0550" w:rsidP="007C3595">
            <w:pPr>
              <w:jc w:val="center"/>
            </w:pPr>
          </w:p>
        </w:tc>
        <w:tc>
          <w:tcPr>
            <w:tcW w:w="6781" w:type="dxa"/>
            <w:shd w:val="clear" w:color="auto" w:fill="auto"/>
          </w:tcPr>
          <w:p w14:paraId="43460455" w14:textId="77777777" w:rsidR="006F0550" w:rsidRDefault="006F0550" w:rsidP="007C3595">
            <w:pPr>
              <w:rPr>
                <w:rStyle w:val="HTMLCode"/>
                <w:rFonts w:asciiTheme="minorHAnsi" w:eastAsiaTheme="minorHAnsi" w:hAnsiTheme="minorHAnsi" w:cstheme="minorHAnsi"/>
                <w:color w:val="000000"/>
                <w:sz w:val="22"/>
                <w:szCs w:val="22"/>
                <w:shd w:val="clear" w:color="auto" w:fill="FFFFFF"/>
              </w:rPr>
            </w:pPr>
            <w:r>
              <w:rPr>
                <w:rStyle w:val="HTMLCode"/>
                <w:rFonts w:asciiTheme="minorHAnsi" w:eastAsiaTheme="minorHAnsi" w:hAnsiTheme="minorHAnsi" w:cstheme="minorHAnsi"/>
                <w:color w:val="000000"/>
                <w:sz w:val="22"/>
                <w:szCs w:val="22"/>
                <w:shd w:val="clear" w:color="auto" w:fill="FFFFFF"/>
              </w:rPr>
              <w:t xml:space="preserve">Provides 30 days paid sick leave (that can be used non-consecutively) for teachers and other school workers after childbirth, fostering or adoption.  The provisions do not apply to the Chicago Public School District.  </w:t>
            </w:r>
          </w:p>
          <w:p w14:paraId="2591ED62" w14:textId="2F64CE9C" w:rsidR="006F0550" w:rsidRPr="006F0550" w:rsidRDefault="006F0550" w:rsidP="007C3595">
            <w:pPr>
              <w:rPr>
                <w:rStyle w:val="HTMLCode"/>
                <w:rFonts w:asciiTheme="minorHAnsi" w:eastAsiaTheme="minorHAnsi" w:hAnsiTheme="minorHAnsi" w:cstheme="minorHAnsi"/>
                <w:color w:val="000000"/>
                <w:sz w:val="22"/>
                <w:szCs w:val="22"/>
                <w:shd w:val="clear" w:color="auto" w:fill="FFFFFF"/>
              </w:rPr>
            </w:pPr>
            <w:r>
              <w:rPr>
                <w:rStyle w:val="HTMLCode"/>
                <w:rFonts w:asciiTheme="minorHAnsi" w:eastAsiaTheme="minorHAnsi" w:hAnsiTheme="minorHAnsi" w:cstheme="minorHAnsi"/>
                <w:b/>
                <w:bCs/>
                <w:i/>
                <w:iCs/>
                <w:color w:val="000000"/>
                <w:sz w:val="22"/>
                <w:szCs w:val="22"/>
                <w:shd w:val="clear" w:color="auto" w:fill="FFFFFF"/>
              </w:rPr>
              <w:t>Effective Immediately</w:t>
            </w:r>
            <w:r>
              <w:rPr>
                <w:rStyle w:val="HTMLCode"/>
                <w:rFonts w:asciiTheme="minorHAnsi" w:eastAsiaTheme="minorHAnsi" w:hAnsiTheme="minorHAnsi" w:cstheme="minorHAnsi"/>
                <w:color w:val="000000"/>
                <w:sz w:val="22"/>
                <w:szCs w:val="22"/>
                <w:shd w:val="clear" w:color="auto" w:fill="FFFFFF"/>
              </w:rPr>
              <w:t xml:space="preserve"> </w:t>
            </w:r>
          </w:p>
        </w:tc>
        <w:tc>
          <w:tcPr>
            <w:tcW w:w="2490" w:type="dxa"/>
            <w:shd w:val="clear" w:color="auto" w:fill="auto"/>
          </w:tcPr>
          <w:p w14:paraId="6A4C9480" w14:textId="4548C5A6" w:rsidR="006F0550" w:rsidRPr="007C3595" w:rsidRDefault="006F0550" w:rsidP="007C3595">
            <w:pPr>
              <w:jc w:val="center"/>
              <w:rPr>
                <w:b/>
                <w:sz w:val="28"/>
                <w:szCs w:val="28"/>
              </w:rPr>
            </w:pPr>
            <w:r>
              <w:rPr>
                <w:b/>
                <w:sz w:val="28"/>
                <w:szCs w:val="28"/>
              </w:rPr>
              <w:t>MONITOR</w:t>
            </w:r>
          </w:p>
        </w:tc>
        <w:tc>
          <w:tcPr>
            <w:tcW w:w="3353" w:type="dxa"/>
            <w:shd w:val="clear" w:color="auto" w:fill="auto"/>
          </w:tcPr>
          <w:p w14:paraId="16E9F2C8" w14:textId="4870573A" w:rsidR="006F0550" w:rsidRDefault="006F0550" w:rsidP="00A61E0D">
            <w:pPr>
              <w:jc w:val="center"/>
              <w:rPr>
                <w:rFonts w:cstheme="minorHAnsi"/>
                <w:b/>
              </w:rPr>
            </w:pPr>
            <w:r>
              <w:rPr>
                <w:rFonts w:cstheme="minorHAnsi"/>
                <w:b/>
              </w:rPr>
              <w:t>PASSED BOTH HOUSES</w:t>
            </w:r>
          </w:p>
        </w:tc>
      </w:tr>
      <w:tr w:rsidR="004E700B" w:rsidRPr="008053E4" w14:paraId="6FEB5015" w14:textId="77777777" w:rsidTr="0069444C">
        <w:tc>
          <w:tcPr>
            <w:tcW w:w="1861" w:type="dxa"/>
            <w:shd w:val="clear" w:color="auto" w:fill="auto"/>
          </w:tcPr>
          <w:p w14:paraId="6A116001" w14:textId="77777777" w:rsidR="004E700B" w:rsidRDefault="00AB3D6F" w:rsidP="007C3595">
            <w:pPr>
              <w:jc w:val="center"/>
              <w:rPr>
                <w:rStyle w:val="Hyperlink"/>
              </w:rPr>
            </w:pPr>
            <w:hyperlink r:id="rId14" w:history="1">
              <w:r w:rsidR="004E700B">
                <w:rPr>
                  <w:rStyle w:val="Hyperlink"/>
                </w:rPr>
                <w:t>HB 1745 (G. Harris)</w:t>
              </w:r>
            </w:hyperlink>
          </w:p>
          <w:p w14:paraId="379D079E" w14:textId="77777777" w:rsidR="004E700B" w:rsidRDefault="004E700B" w:rsidP="007C3595">
            <w:pPr>
              <w:jc w:val="center"/>
              <w:rPr>
                <w:rStyle w:val="Hyperlink"/>
              </w:rPr>
            </w:pPr>
            <w:r>
              <w:rPr>
                <w:rStyle w:val="Hyperlink"/>
              </w:rPr>
              <w:t>(N. Harris)</w:t>
            </w:r>
          </w:p>
          <w:p w14:paraId="759B4057" w14:textId="472752AB" w:rsidR="004E700B" w:rsidRDefault="004E700B" w:rsidP="007F1D56">
            <w:pPr>
              <w:jc w:val="center"/>
            </w:pPr>
          </w:p>
        </w:tc>
        <w:tc>
          <w:tcPr>
            <w:tcW w:w="6781" w:type="dxa"/>
            <w:shd w:val="clear" w:color="auto" w:fill="auto"/>
          </w:tcPr>
          <w:p w14:paraId="31008C31" w14:textId="23264958" w:rsidR="004E700B" w:rsidRPr="00022A26" w:rsidRDefault="004E700B" w:rsidP="007C3595">
            <w:r w:rsidRPr="00022A26">
              <w:rPr>
                <w:rStyle w:val="HTMLCode"/>
                <w:rFonts w:asciiTheme="minorHAnsi" w:eastAsiaTheme="minorHAnsi" w:hAnsiTheme="minorHAnsi" w:cstheme="minorHAnsi"/>
                <w:color w:val="000000"/>
                <w:sz w:val="22"/>
                <w:szCs w:val="22"/>
                <w:shd w:val="clear" w:color="auto" w:fill="FFFFFF"/>
              </w:rPr>
              <w:t>As amended</w:t>
            </w:r>
            <w:r w:rsidR="00732709" w:rsidRPr="00022A26">
              <w:rPr>
                <w:rStyle w:val="HTMLCode"/>
                <w:rFonts w:asciiTheme="minorHAnsi" w:eastAsiaTheme="minorHAnsi" w:hAnsiTheme="minorHAnsi" w:cstheme="minorHAnsi"/>
                <w:color w:val="000000"/>
                <w:sz w:val="22"/>
                <w:szCs w:val="22"/>
                <w:shd w:val="clear" w:color="auto" w:fill="FFFFFF"/>
              </w:rPr>
              <w:t>,</w:t>
            </w:r>
            <w:r w:rsidR="00732709" w:rsidRPr="00022A26">
              <w:rPr>
                <w:rStyle w:val="HTMLCode"/>
                <w:rFonts w:asciiTheme="minorHAnsi" w:eastAsiaTheme="minorHAnsi" w:hAnsiTheme="minorHAnsi" w:cstheme="minorHAnsi"/>
                <w:b/>
                <w:bCs/>
                <w:color w:val="000000"/>
                <w:sz w:val="22"/>
                <w:szCs w:val="22"/>
                <w:shd w:val="clear" w:color="auto" w:fill="FFFFFF"/>
              </w:rPr>
              <w:t xml:space="preserve"> </w:t>
            </w:r>
            <w:r w:rsidRPr="00022A26">
              <w:t>beginning 1/1/23, requires</w:t>
            </w:r>
            <w:r w:rsidRPr="00022A26">
              <w:rPr>
                <w:rStyle w:val="HTMLCode"/>
                <w:rFonts w:asciiTheme="minorHAnsi" w:eastAsiaTheme="minorHAnsi" w:hAnsiTheme="minorHAnsi" w:cstheme="minorHAnsi"/>
                <w:color w:val="000000"/>
                <w:sz w:val="22"/>
                <w:szCs w:val="22"/>
                <w:shd w:val="clear" w:color="auto" w:fill="FFFFFF"/>
              </w:rPr>
              <w:t xml:space="preserve"> health insurance carriers that provide coverage for prescription drugs to ensure that, within service areas and levels of coverage specified by federal law, at least 10% of individual health plans (and at least 1 group plan) apply a pre-deductible flat-dollar copayment structure to the entire drug benefit and beginning 1/1/24, at least 25% of individual health plans (and at least 2 group plans) apply a pre-deductible flat-dollar copayment structure to the entire drug benefit. </w:t>
            </w:r>
          </w:p>
          <w:p w14:paraId="600032BA" w14:textId="7D0F0744" w:rsidR="004E700B" w:rsidRPr="000B4108" w:rsidRDefault="004E700B" w:rsidP="007F1D56">
            <w:pPr>
              <w:rPr>
                <w:bCs/>
                <w:iCs/>
              </w:rPr>
            </w:pPr>
            <w:r w:rsidRPr="00E06900">
              <w:rPr>
                <w:rStyle w:val="HTMLCode"/>
                <w:rFonts w:asciiTheme="minorHAnsi" w:eastAsiaTheme="minorHAnsi" w:hAnsiTheme="minorHAnsi" w:cstheme="minorHAnsi"/>
                <w:b/>
                <w:bCs/>
                <w:i/>
                <w:iCs/>
                <w:color w:val="000000"/>
                <w:sz w:val="22"/>
                <w:szCs w:val="22"/>
                <w:shd w:val="clear" w:color="auto" w:fill="FFFFFF"/>
              </w:rPr>
              <w:t>Effective January 1, 202</w:t>
            </w:r>
            <w:r>
              <w:rPr>
                <w:rStyle w:val="HTMLCode"/>
                <w:rFonts w:asciiTheme="minorHAnsi" w:eastAsiaTheme="minorHAnsi" w:hAnsiTheme="minorHAnsi" w:cstheme="minorHAnsi"/>
                <w:b/>
                <w:bCs/>
                <w:i/>
                <w:iCs/>
                <w:color w:val="000000"/>
                <w:sz w:val="22"/>
                <w:szCs w:val="22"/>
                <w:shd w:val="clear" w:color="auto" w:fill="FFFFFF"/>
              </w:rPr>
              <w:t>3</w:t>
            </w:r>
          </w:p>
        </w:tc>
        <w:tc>
          <w:tcPr>
            <w:tcW w:w="2490" w:type="dxa"/>
            <w:shd w:val="clear" w:color="auto" w:fill="auto"/>
          </w:tcPr>
          <w:p w14:paraId="4496C93E" w14:textId="77777777" w:rsidR="004E700B" w:rsidRDefault="004E700B" w:rsidP="007C3595">
            <w:pPr>
              <w:jc w:val="center"/>
              <w:rPr>
                <w:b/>
                <w:sz w:val="28"/>
                <w:szCs w:val="28"/>
              </w:rPr>
            </w:pPr>
            <w:r w:rsidRPr="007C3595">
              <w:rPr>
                <w:b/>
                <w:sz w:val="28"/>
                <w:szCs w:val="28"/>
              </w:rPr>
              <w:t xml:space="preserve">NEUTRAL </w:t>
            </w:r>
          </w:p>
          <w:p w14:paraId="02A703C8" w14:textId="7DA20698" w:rsidR="004E700B" w:rsidRDefault="00732709" w:rsidP="00732709">
            <w:pPr>
              <w:jc w:val="center"/>
              <w:rPr>
                <w:b/>
                <w:sz w:val="28"/>
                <w:szCs w:val="28"/>
              </w:rPr>
            </w:pPr>
            <w:r>
              <w:rPr>
                <w:b/>
                <w:sz w:val="28"/>
                <w:szCs w:val="28"/>
              </w:rPr>
              <w:t>AS AMENDED</w:t>
            </w:r>
          </w:p>
        </w:tc>
        <w:tc>
          <w:tcPr>
            <w:tcW w:w="3353" w:type="dxa"/>
            <w:shd w:val="clear" w:color="auto" w:fill="auto"/>
          </w:tcPr>
          <w:p w14:paraId="5C48CCF2" w14:textId="31CE9E49" w:rsidR="004E700B" w:rsidRPr="008053E4" w:rsidRDefault="00572DE5" w:rsidP="007F1D56">
            <w:pPr>
              <w:jc w:val="center"/>
              <w:rPr>
                <w:rFonts w:cstheme="minorHAnsi"/>
                <w:b/>
              </w:rPr>
            </w:pPr>
            <w:r>
              <w:rPr>
                <w:rFonts w:cstheme="minorHAnsi"/>
                <w:b/>
              </w:rPr>
              <w:t>SENT TO GOVERNOR</w:t>
            </w:r>
          </w:p>
        </w:tc>
      </w:tr>
      <w:tr w:rsidR="004E700B" w:rsidRPr="008053E4" w14:paraId="512103CA" w14:textId="77777777" w:rsidTr="0069444C">
        <w:tc>
          <w:tcPr>
            <w:tcW w:w="1861" w:type="dxa"/>
            <w:shd w:val="clear" w:color="auto" w:fill="auto"/>
          </w:tcPr>
          <w:p w14:paraId="3393C04D" w14:textId="77777777" w:rsidR="004E700B" w:rsidRDefault="00AB3D6F" w:rsidP="007C3595">
            <w:pPr>
              <w:jc w:val="center"/>
              <w:rPr>
                <w:rStyle w:val="Hyperlink"/>
              </w:rPr>
            </w:pPr>
            <w:hyperlink r:id="rId15" w:history="1">
              <w:r w:rsidR="004E700B">
                <w:rPr>
                  <w:rStyle w:val="Hyperlink"/>
                </w:rPr>
                <w:t>HB 1779 (Flowers)</w:t>
              </w:r>
            </w:hyperlink>
          </w:p>
          <w:p w14:paraId="46452BE7" w14:textId="77777777" w:rsidR="004E700B" w:rsidRDefault="004E700B" w:rsidP="007C3595">
            <w:pPr>
              <w:jc w:val="center"/>
              <w:rPr>
                <w:rStyle w:val="Hyperlink"/>
              </w:rPr>
            </w:pPr>
            <w:r>
              <w:rPr>
                <w:rStyle w:val="Hyperlink"/>
              </w:rPr>
              <w:t>(Munoz)</w:t>
            </w:r>
          </w:p>
          <w:p w14:paraId="60CB3882" w14:textId="2CF251A7" w:rsidR="004E700B" w:rsidRDefault="004E700B" w:rsidP="00F77001">
            <w:pPr>
              <w:jc w:val="center"/>
            </w:pPr>
          </w:p>
        </w:tc>
        <w:tc>
          <w:tcPr>
            <w:tcW w:w="6781" w:type="dxa"/>
            <w:shd w:val="clear" w:color="auto" w:fill="auto"/>
          </w:tcPr>
          <w:p w14:paraId="6223448F" w14:textId="2D0C6C3D" w:rsidR="004E700B" w:rsidRPr="00022A26" w:rsidRDefault="00732709" w:rsidP="007C3595">
            <w:pPr>
              <w:rPr>
                <w:rStyle w:val="HTMLCode"/>
                <w:rFonts w:asciiTheme="minorHAnsi" w:eastAsiaTheme="minorHAnsi" w:hAnsiTheme="minorHAnsi" w:cstheme="minorHAnsi"/>
                <w:b/>
                <w:bCs/>
                <w:i/>
                <w:iCs/>
                <w:color w:val="000000"/>
                <w:sz w:val="22"/>
                <w:szCs w:val="22"/>
                <w:shd w:val="clear" w:color="auto" w:fill="FFFFFF"/>
              </w:rPr>
            </w:pPr>
            <w:r w:rsidRPr="00022A26">
              <w:rPr>
                <w:rFonts w:cstheme="minorHAnsi"/>
                <w:color w:val="000000"/>
                <w:shd w:val="clear" w:color="auto" w:fill="FFFFFF"/>
              </w:rPr>
              <w:t>A</w:t>
            </w:r>
            <w:r w:rsidRPr="00022A26">
              <w:rPr>
                <w:rFonts w:cstheme="minorHAnsi"/>
              </w:rPr>
              <w:t xml:space="preserve">s amended, mandates </w:t>
            </w:r>
            <w:r w:rsidRPr="00022A26">
              <w:rPr>
                <w:rFonts w:cstheme="minorHAnsi"/>
                <w:color w:val="000000"/>
                <w:shd w:val="clear" w:color="auto" w:fill="FFFFFF"/>
              </w:rPr>
              <w:t>coverage for biomarker testing. Provides that biomarker testing shall be covered and conducted in an efficient manner to provide the most complete range of results to the patient's health care provider without requiring multiple biopsies, biospecimen samples, or other delays or disruptions in patient care. Provides that when coverage of biomarker testing for the purpose of diagnosis, treatment, or ongoing monitoring of any medical condition is restricted for use by health insurers, nonprofit health service plans, or health maintenance organizations, the patient and prescribing practitioner shall have access to a clear, readily accessible, and convenient processes to request an exception, and the process shall be made readily accessible on the insurer's website.</w:t>
            </w:r>
            <w:r w:rsidR="004E700B" w:rsidRPr="00022A26">
              <w:rPr>
                <w:rStyle w:val="HTMLCode"/>
                <w:rFonts w:asciiTheme="minorHAnsi" w:eastAsiaTheme="minorHAnsi" w:hAnsiTheme="minorHAnsi" w:cstheme="minorHAnsi"/>
                <w:b/>
                <w:bCs/>
                <w:i/>
                <w:iCs/>
                <w:color w:val="000000"/>
                <w:sz w:val="22"/>
                <w:szCs w:val="22"/>
                <w:shd w:val="clear" w:color="auto" w:fill="FFFFFF"/>
              </w:rPr>
              <w:t xml:space="preserve"> </w:t>
            </w:r>
          </w:p>
          <w:p w14:paraId="6F43C44A" w14:textId="7E0A175C" w:rsidR="004E700B" w:rsidRDefault="004E700B" w:rsidP="006913EC">
            <w:r w:rsidRPr="00E06900">
              <w:rPr>
                <w:rStyle w:val="HTMLCode"/>
                <w:rFonts w:asciiTheme="minorHAnsi" w:eastAsiaTheme="minorHAnsi" w:hAnsiTheme="minorHAnsi" w:cstheme="minorHAnsi"/>
                <w:b/>
                <w:bCs/>
                <w:i/>
                <w:iCs/>
                <w:color w:val="000000"/>
                <w:sz w:val="22"/>
                <w:szCs w:val="22"/>
                <w:shd w:val="clear" w:color="auto" w:fill="FFFFFF"/>
              </w:rPr>
              <w:t>Effective January 1, 2022</w:t>
            </w:r>
          </w:p>
        </w:tc>
        <w:tc>
          <w:tcPr>
            <w:tcW w:w="2490" w:type="dxa"/>
            <w:shd w:val="clear" w:color="auto" w:fill="auto"/>
          </w:tcPr>
          <w:p w14:paraId="642F1676" w14:textId="77777777" w:rsidR="004E700B" w:rsidRDefault="004E700B" w:rsidP="007C3595">
            <w:pPr>
              <w:jc w:val="center"/>
              <w:rPr>
                <w:b/>
                <w:sz w:val="28"/>
                <w:szCs w:val="28"/>
              </w:rPr>
            </w:pPr>
            <w:r w:rsidRPr="007C3595">
              <w:rPr>
                <w:b/>
                <w:sz w:val="28"/>
                <w:szCs w:val="28"/>
              </w:rPr>
              <w:t xml:space="preserve">OPPOSE </w:t>
            </w:r>
          </w:p>
          <w:p w14:paraId="15CE4EC2" w14:textId="2A714B6E" w:rsidR="004E700B" w:rsidRPr="00D11DB9" w:rsidRDefault="004E700B" w:rsidP="00F77001">
            <w:pPr>
              <w:jc w:val="center"/>
              <w:rPr>
                <w:b/>
                <w:sz w:val="28"/>
                <w:szCs w:val="28"/>
              </w:rPr>
            </w:pPr>
          </w:p>
        </w:tc>
        <w:tc>
          <w:tcPr>
            <w:tcW w:w="3353" w:type="dxa"/>
            <w:shd w:val="clear" w:color="auto" w:fill="auto"/>
          </w:tcPr>
          <w:p w14:paraId="26B03654" w14:textId="5462B653" w:rsidR="004E700B" w:rsidRDefault="00572DE5" w:rsidP="00A61E0D">
            <w:pPr>
              <w:jc w:val="center"/>
              <w:rPr>
                <w:rFonts w:cstheme="minorHAnsi"/>
                <w:b/>
              </w:rPr>
            </w:pPr>
            <w:r>
              <w:rPr>
                <w:rFonts w:cstheme="minorHAnsi"/>
                <w:b/>
              </w:rPr>
              <w:t>SENT TO GOVERNOR</w:t>
            </w:r>
          </w:p>
        </w:tc>
      </w:tr>
      <w:tr w:rsidR="004E700B" w:rsidRPr="008053E4" w14:paraId="41BE2A05" w14:textId="77777777" w:rsidTr="0069444C">
        <w:tc>
          <w:tcPr>
            <w:tcW w:w="1861" w:type="dxa"/>
            <w:shd w:val="clear" w:color="auto" w:fill="auto"/>
          </w:tcPr>
          <w:p w14:paraId="0262E4E7" w14:textId="77777777" w:rsidR="004E700B" w:rsidRDefault="00AB3D6F" w:rsidP="00F77001">
            <w:pPr>
              <w:jc w:val="center"/>
              <w:rPr>
                <w:rStyle w:val="Hyperlink"/>
              </w:rPr>
            </w:pPr>
            <w:hyperlink r:id="rId16" w:history="1">
              <w:r w:rsidR="004E700B">
                <w:rPr>
                  <w:rStyle w:val="Hyperlink"/>
                </w:rPr>
                <w:t>HB 1955 (Jones)</w:t>
              </w:r>
            </w:hyperlink>
          </w:p>
          <w:p w14:paraId="26F4131D" w14:textId="77777777" w:rsidR="004E700B" w:rsidRDefault="004E700B" w:rsidP="00F77001">
            <w:pPr>
              <w:jc w:val="center"/>
              <w:rPr>
                <w:rStyle w:val="Hyperlink"/>
              </w:rPr>
            </w:pPr>
            <w:r>
              <w:rPr>
                <w:rStyle w:val="Hyperlink"/>
              </w:rPr>
              <w:t>(N. Harris)</w:t>
            </w:r>
          </w:p>
          <w:p w14:paraId="0CD49A5C" w14:textId="72183B0E" w:rsidR="004E700B" w:rsidRPr="00552EF6" w:rsidRDefault="004E700B" w:rsidP="007C3595">
            <w:pPr>
              <w:jc w:val="center"/>
              <w:rPr>
                <w:color w:val="FF0000"/>
              </w:rPr>
            </w:pPr>
          </w:p>
        </w:tc>
        <w:tc>
          <w:tcPr>
            <w:tcW w:w="6781" w:type="dxa"/>
            <w:shd w:val="clear" w:color="auto" w:fill="auto"/>
          </w:tcPr>
          <w:p w14:paraId="6F5FA3DA" w14:textId="77777777" w:rsidR="004E700B" w:rsidRDefault="004E700B" w:rsidP="00F77001">
            <w:pPr>
              <w:rPr>
                <w:rStyle w:val="Hyperlink"/>
              </w:rPr>
            </w:pPr>
            <w:r>
              <w:rPr>
                <w:rFonts w:cstheme="minorHAnsi"/>
                <w:b/>
                <w:bCs/>
                <w:i/>
                <w:iCs/>
                <w:color w:val="000000"/>
                <w:shd w:val="clear" w:color="auto" w:fill="FFFFFF"/>
              </w:rPr>
              <w:t xml:space="preserve">DOI Initiative </w:t>
            </w:r>
            <w:r>
              <w:rPr>
                <w:rFonts w:cstheme="minorHAnsi"/>
                <w:color w:val="000000"/>
                <w:shd w:val="clear" w:color="auto" w:fill="FFFFFF"/>
              </w:rPr>
              <w:t xml:space="preserve">adopting Holding Company Act 2014 amendments and providing for additional clean-up provisions to the existing Holding Company Act, effective immediately.  Identical to </w:t>
            </w:r>
            <w:hyperlink r:id="rId17" w:history="1">
              <w:r>
                <w:rPr>
                  <w:rStyle w:val="Hyperlink"/>
                </w:rPr>
                <w:t>SB 2409 (Harris).</w:t>
              </w:r>
            </w:hyperlink>
          </w:p>
          <w:p w14:paraId="53326648" w14:textId="431DE565" w:rsidR="004E700B" w:rsidRPr="007C3595" w:rsidRDefault="004E700B" w:rsidP="007C3595">
            <w:pPr>
              <w:rPr>
                <w:rStyle w:val="HTMLCode"/>
                <w:rFonts w:asciiTheme="minorHAnsi" w:eastAsiaTheme="minorHAnsi" w:hAnsiTheme="minorHAnsi" w:cstheme="minorHAnsi"/>
                <w:color w:val="000000"/>
                <w:sz w:val="22"/>
                <w:szCs w:val="22"/>
                <w:shd w:val="clear" w:color="auto" w:fill="FFFFFF"/>
              </w:rPr>
            </w:pPr>
            <w:r w:rsidRPr="00E06900">
              <w:rPr>
                <w:rStyle w:val="content"/>
                <w:rFonts w:cstheme="minorHAnsi"/>
                <w:b/>
                <w:bCs/>
                <w:i/>
                <w:iCs/>
                <w:shd w:val="clear" w:color="auto" w:fill="FFFFFF"/>
              </w:rPr>
              <w:t>Effective Immediately</w:t>
            </w:r>
          </w:p>
        </w:tc>
        <w:tc>
          <w:tcPr>
            <w:tcW w:w="2490" w:type="dxa"/>
            <w:shd w:val="clear" w:color="auto" w:fill="auto"/>
          </w:tcPr>
          <w:p w14:paraId="4F8AC518" w14:textId="3B8E0875" w:rsidR="004E700B" w:rsidRPr="007C3595" w:rsidRDefault="004E700B" w:rsidP="007C3595">
            <w:pPr>
              <w:jc w:val="center"/>
              <w:rPr>
                <w:b/>
                <w:sz w:val="28"/>
                <w:szCs w:val="28"/>
              </w:rPr>
            </w:pPr>
            <w:r>
              <w:rPr>
                <w:b/>
                <w:sz w:val="28"/>
                <w:szCs w:val="28"/>
              </w:rPr>
              <w:t>SUPPORT</w:t>
            </w:r>
          </w:p>
        </w:tc>
        <w:tc>
          <w:tcPr>
            <w:tcW w:w="3353" w:type="dxa"/>
            <w:shd w:val="clear" w:color="auto" w:fill="auto"/>
          </w:tcPr>
          <w:p w14:paraId="19B7F852" w14:textId="2B5779E9" w:rsidR="004E700B" w:rsidRDefault="00572DE5" w:rsidP="00A61E0D">
            <w:pPr>
              <w:jc w:val="center"/>
              <w:rPr>
                <w:rFonts w:cstheme="minorHAnsi"/>
                <w:b/>
              </w:rPr>
            </w:pPr>
            <w:r>
              <w:rPr>
                <w:rFonts w:cstheme="minorHAnsi"/>
                <w:b/>
              </w:rPr>
              <w:t>SENT TO GOVERNOR</w:t>
            </w:r>
          </w:p>
        </w:tc>
      </w:tr>
      <w:tr w:rsidR="004E700B" w:rsidRPr="008053E4" w14:paraId="1118B98C" w14:textId="77777777" w:rsidTr="0069444C">
        <w:tc>
          <w:tcPr>
            <w:tcW w:w="1861" w:type="dxa"/>
            <w:shd w:val="clear" w:color="auto" w:fill="auto"/>
          </w:tcPr>
          <w:p w14:paraId="72EBEDB2" w14:textId="77777777" w:rsidR="004E700B" w:rsidRDefault="00AB3D6F" w:rsidP="00F77001">
            <w:pPr>
              <w:jc w:val="center"/>
              <w:rPr>
                <w:rStyle w:val="Hyperlink"/>
              </w:rPr>
            </w:pPr>
            <w:hyperlink r:id="rId18" w:history="1">
              <w:r w:rsidR="004E700B">
                <w:rPr>
                  <w:rStyle w:val="Hyperlink"/>
                </w:rPr>
                <w:t>HB 1957 (Jones)</w:t>
              </w:r>
            </w:hyperlink>
          </w:p>
          <w:p w14:paraId="3F938B72" w14:textId="600AAD97" w:rsidR="004E700B" w:rsidRDefault="004E700B" w:rsidP="008E0315">
            <w:r>
              <w:rPr>
                <w:rStyle w:val="Hyperlink"/>
              </w:rPr>
              <w:t>(N. Harris)</w:t>
            </w:r>
          </w:p>
        </w:tc>
        <w:tc>
          <w:tcPr>
            <w:tcW w:w="6781" w:type="dxa"/>
            <w:shd w:val="clear" w:color="auto" w:fill="auto"/>
          </w:tcPr>
          <w:p w14:paraId="17E5A97A" w14:textId="77777777" w:rsidR="004E700B" w:rsidRDefault="004E700B" w:rsidP="00F77001">
            <w:pPr>
              <w:rPr>
                <w:rStyle w:val="HTMLCode"/>
                <w:rFonts w:asciiTheme="minorHAnsi" w:eastAsiaTheme="minorHAnsi" w:hAnsiTheme="minorHAnsi" w:cstheme="minorHAnsi"/>
                <w:b/>
                <w:bCs/>
                <w:i/>
                <w:iCs/>
                <w:color w:val="000000"/>
                <w:sz w:val="22"/>
                <w:szCs w:val="22"/>
                <w:shd w:val="clear" w:color="auto" w:fill="FFFFFF"/>
              </w:rPr>
            </w:pPr>
            <w:r>
              <w:rPr>
                <w:rFonts w:cstheme="minorHAnsi"/>
                <w:b/>
                <w:bCs/>
                <w:i/>
                <w:iCs/>
                <w:color w:val="000000"/>
                <w:shd w:val="clear" w:color="auto" w:fill="FFFFFF"/>
              </w:rPr>
              <w:t xml:space="preserve">DOI Initiative </w:t>
            </w:r>
            <w:r>
              <w:rPr>
                <w:rFonts w:cstheme="minorHAnsi"/>
                <w:color w:val="000000"/>
                <w:shd w:val="clear" w:color="auto" w:fill="FFFFFF"/>
              </w:rPr>
              <w:t xml:space="preserve">providing for various Insurance Code clean-up changes, including partial codification of EO 2020-29 to allow for producer prelicensure courses to take place via webinar, effective immediately.  Identical to </w:t>
            </w:r>
            <w:hyperlink r:id="rId19" w:history="1">
              <w:r>
                <w:rPr>
                  <w:rStyle w:val="Hyperlink"/>
                </w:rPr>
                <w:t>SB 2410 (Harris)</w:t>
              </w:r>
            </w:hyperlink>
            <w:r>
              <w:t>.</w:t>
            </w:r>
            <w:r w:rsidRPr="00E06900">
              <w:rPr>
                <w:rStyle w:val="HTMLCode"/>
                <w:rFonts w:asciiTheme="minorHAnsi" w:eastAsiaTheme="minorHAnsi" w:hAnsiTheme="minorHAnsi" w:cstheme="minorHAnsi"/>
                <w:b/>
                <w:bCs/>
                <w:i/>
                <w:iCs/>
                <w:color w:val="000000"/>
                <w:sz w:val="22"/>
                <w:szCs w:val="22"/>
                <w:shd w:val="clear" w:color="auto" w:fill="FFFFFF"/>
              </w:rPr>
              <w:t xml:space="preserve"> </w:t>
            </w:r>
          </w:p>
          <w:p w14:paraId="1A5973A7" w14:textId="60A37121" w:rsidR="004E700B" w:rsidRPr="007C3595" w:rsidRDefault="004E700B" w:rsidP="007C3595">
            <w:pPr>
              <w:rPr>
                <w:rStyle w:val="HTMLCode"/>
                <w:rFonts w:asciiTheme="minorHAnsi" w:eastAsiaTheme="minorHAnsi" w:hAnsiTheme="minorHAnsi" w:cstheme="minorHAnsi"/>
                <w:color w:val="000000"/>
                <w:sz w:val="22"/>
                <w:szCs w:val="22"/>
                <w:shd w:val="clear" w:color="auto" w:fill="FFFFFF"/>
              </w:rPr>
            </w:pPr>
            <w:r w:rsidRPr="00E06900">
              <w:rPr>
                <w:rStyle w:val="HTMLCode"/>
                <w:rFonts w:asciiTheme="minorHAnsi" w:eastAsiaTheme="minorHAnsi" w:hAnsiTheme="minorHAnsi" w:cstheme="minorHAnsi"/>
                <w:b/>
                <w:bCs/>
                <w:i/>
                <w:iCs/>
                <w:color w:val="000000"/>
                <w:sz w:val="22"/>
                <w:szCs w:val="22"/>
                <w:shd w:val="clear" w:color="auto" w:fill="FFFFFF"/>
              </w:rPr>
              <w:t>Effective January 1, 2022</w:t>
            </w:r>
          </w:p>
        </w:tc>
        <w:tc>
          <w:tcPr>
            <w:tcW w:w="2490" w:type="dxa"/>
            <w:shd w:val="clear" w:color="auto" w:fill="auto"/>
          </w:tcPr>
          <w:p w14:paraId="74B67BF9" w14:textId="70BC5535" w:rsidR="004E700B" w:rsidRPr="007C3595" w:rsidRDefault="004E700B" w:rsidP="00E06900">
            <w:pPr>
              <w:jc w:val="center"/>
              <w:rPr>
                <w:b/>
                <w:sz w:val="28"/>
                <w:szCs w:val="28"/>
              </w:rPr>
            </w:pPr>
            <w:r>
              <w:rPr>
                <w:b/>
                <w:sz w:val="28"/>
                <w:szCs w:val="28"/>
              </w:rPr>
              <w:t>SUPPORT</w:t>
            </w:r>
          </w:p>
        </w:tc>
        <w:tc>
          <w:tcPr>
            <w:tcW w:w="3353" w:type="dxa"/>
            <w:shd w:val="clear" w:color="auto" w:fill="auto"/>
          </w:tcPr>
          <w:p w14:paraId="17BEE30A" w14:textId="45F42A74" w:rsidR="004E700B" w:rsidRDefault="00572DE5" w:rsidP="007C3595">
            <w:pPr>
              <w:jc w:val="center"/>
              <w:rPr>
                <w:rFonts w:cstheme="minorHAnsi"/>
                <w:b/>
              </w:rPr>
            </w:pPr>
            <w:r>
              <w:rPr>
                <w:rFonts w:cstheme="minorHAnsi"/>
                <w:b/>
              </w:rPr>
              <w:t>SENT TO GOVERNOR</w:t>
            </w:r>
          </w:p>
        </w:tc>
      </w:tr>
      <w:tr w:rsidR="00732709" w:rsidRPr="008053E4" w14:paraId="505BAC02" w14:textId="77777777" w:rsidTr="0069444C">
        <w:tc>
          <w:tcPr>
            <w:tcW w:w="1861" w:type="dxa"/>
            <w:shd w:val="clear" w:color="auto" w:fill="auto"/>
          </w:tcPr>
          <w:p w14:paraId="0DA15991" w14:textId="77777777" w:rsidR="00732709" w:rsidRPr="003A3927" w:rsidRDefault="00AB3D6F" w:rsidP="003A3927">
            <w:pPr>
              <w:jc w:val="center"/>
            </w:pPr>
            <w:hyperlink r:id="rId20" w:history="1">
              <w:r w:rsidR="00732709" w:rsidRPr="003A3927">
                <w:rPr>
                  <w:color w:val="0563C1" w:themeColor="hyperlink"/>
                  <w:u w:val="single"/>
                </w:rPr>
                <w:t xml:space="preserve">HB 2109 </w:t>
              </w:r>
              <w:r w:rsidR="00732709">
                <w:rPr>
                  <w:color w:val="0563C1" w:themeColor="hyperlink"/>
                  <w:u w:val="single"/>
                </w:rPr>
                <w:t>–</w:t>
              </w:r>
              <w:r w:rsidR="00732709" w:rsidRPr="003A3927">
                <w:rPr>
                  <w:color w:val="0563C1" w:themeColor="hyperlink"/>
                  <w:u w:val="single"/>
                </w:rPr>
                <w:t xml:space="preserve"> HA#1 </w:t>
              </w:r>
              <w:r w:rsidR="00732709">
                <w:rPr>
                  <w:color w:val="0563C1" w:themeColor="hyperlink"/>
                  <w:u w:val="single"/>
                </w:rPr>
                <w:t>–</w:t>
              </w:r>
              <w:r w:rsidR="00732709" w:rsidRPr="003A3927">
                <w:rPr>
                  <w:color w:val="0563C1" w:themeColor="hyperlink"/>
                  <w:u w:val="single"/>
                </w:rPr>
                <w:t xml:space="preserve"> </w:t>
              </w:r>
              <w:r w:rsidR="00732709">
                <w:rPr>
                  <w:color w:val="0563C1" w:themeColor="hyperlink"/>
                  <w:u w:val="single"/>
                </w:rPr>
                <w:t>(</w:t>
              </w:r>
              <w:r w:rsidR="00732709" w:rsidRPr="003A3927">
                <w:rPr>
                  <w:color w:val="0563C1" w:themeColor="hyperlink"/>
                  <w:u w:val="single"/>
                </w:rPr>
                <w:t>L</w:t>
              </w:r>
              <w:r w:rsidR="00732709">
                <w:rPr>
                  <w:color w:val="0563C1" w:themeColor="hyperlink"/>
                  <w:u w:val="single"/>
                </w:rPr>
                <w:t>ewis)</w:t>
              </w:r>
            </w:hyperlink>
            <w:r w:rsidR="00732709">
              <w:rPr>
                <w:color w:val="0563C1" w:themeColor="hyperlink"/>
                <w:u w:val="single"/>
              </w:rPr>
              <w:t xml:space="preserve">  (</w:t>
            </w:r>
            <w:proofErr w:type="spellStart"/>
            <w:r w:rsidR="00732709">
              <w:rPr>
                <w:color w:val="0563C1" w:themeColor="hyperlink"/>
                <w:u w:val="single"/>
              </w:rPr>
              <w:t>Lightford</w:t>
            </w:r>
            <w:proofErr w:type="spellEnd"/>
            <w:r w:rsidR="00732709">
              <w:rPr>
                <w:color w:val="0563C1" w:themeColor="hyperlink"/>
                <w:u w:val="single"/>
              </w:rPr>
              <w:t>)</w:t>
            </w:r>
          </w:p>
          <w:p w14:paraId="7C35996A" w14:textId="05FB1D58" w:rsidR="00732709" w:rsidRDefault="00732709" w:rsidP="00F77001">
            <w:pPr>
              <w:jc w:val="center"/>
            </w:pPr>
          </w:p>
        </w:tc>
        <w:tc>
          <w:tcPr>
            <w:tcW w:w="6781" w:type="dxa"/>
            <w:shd w:val="clear" w:color="auto" w:fill="auto"/>
          </w:tcPr>
          <w:p w14:paraId="2F4B6BDF" w14:textId="342EED7B" w:rsidR="00732709" w:rsidRPr="0003391E" w:rsidRDefault="00732709" w:rsidP="0003391E">
            <w:pPr>
              <w:rPr>
                <w:rStyle w:val="content"/>
                <w:rFonts w:cstheme="minorHAnsi"/>
                <w:color w:val="000000"/>
              </w:rPr>
            </w:pPr>
            <w:r w:rsidRPr="0003391E">
              <w:rPr>
                <w:rFonts w:cstheme="minorHAnsi"/>
                <w:color w:val="000000"/>
              </w:rPr>
              <w:t>As amended</w:t>
            </w:r>
            <w:r w:rsidR="00365B50">
              <w:rPr>
                <w:rFonts w:cstheme="minorHAnsi"/>
                <w:color w:val="000000"/>
              </w:rPr>
              <w:t>,</w:t>
            </w:r>
            <w:r w:rsidR="00365B50">
              <w:t xml:space="preserve"> mandates</w:t>
            </w:r>
            <w:r w:rsidRPr="0003391E">
              <w:rPr>
                <w:rFonts w:cstheme="minorHAnsi"/>
                <w:color w:val="000000"/>
              </w:rPr>
              <w:t xml:space="preserve"> coverage for medically necessary comprehensive cancer testing</w:t>
            </w:r>
            <w:r w:rsidR="00022A26">
              <w:rPr>
                <w:rFonts w:cstheme="minorHAnsi"/>
                <w:color w:val="000000"/>
              </w:rPr>
              <w:t xml:space="preserve"> and removes </w:t>
            </w:r>
            <w:r w:rsidR="0003391E" w:rsidRPr="00022A26">
              <w:rPr>
                <w:rFonts w:cstheme="minorHAnsi"/>
                <w:color w:val="000000"/>
              </w:rPr>
              <w:t>prohibition of prior authorization.</w:t>
            </w:r>
            <w:r w:rsidR="0003391E">
              <w:rPr>
                <w:rFonts w:cstheme="minorHAnsi"/>
                <w:color w:val="000000"/>
              </w:rPr>
              <w:t xml:space="preserve">  </w:t>
            </w:r>
            <w:r w:rsidRPr="0003391E">
              <w:rPr>
                <w:rStyle w:val="HTMLCode"/>
                <w:rFonts w:asciiTheme="minorHAnsi" w:eastAsiaTheme="minorHAnsi" w:hAnsiTheme="minorHAnsi" w:cstheme="minorHAnsi"/>
                <w:b/>
                <w:bCs/>
                <w:i/>
                <w:iCs/>
                <w:color w:val="000000"/>
                <w:sz w:val="22"/>
                <w:szCs w:val="22"/>
                <w:shd w:val="clear" w:color="auto" w:fill="FFFFFF"/>
              </w:rPr>
              <w:t xml:space="preserve">Effective January 1, </w:t>
            </w:r>
            <w:proofErr w:type="gramStart"/>
            <w:r w:rsidRPr="0003391E">
              <w:rPr>
                <w:rStyle w:val="HTMLCode"/>
                <w:rFonts w:asciiTheme="minorHAnsi" w:eastAsiaTheme="minorHAnsi" w:hAnsiTheme="minorHAnsi" w:cstheme="minorHAnsi"/>
                <w:b/>
                <w:bCs/>
                <w:i/>
                <w:iCs/>
                <w:color w:val="000000"/>
                <w:sz w:val="22"/>
                <w:szCs w:val="22"/>
                <w:shd w:val="clear" w:color="auto" w:fill="FFFFFF"/>
              </w:rPr>
              <w:t>2022</w:t>
            </w:r>
            <w:proofErr w:type="gramEnd"/>
            <w:r w:rsidR="0003391E" w:rsidRPr="0003391E">
              <w:rPr>
                <w:rStyle w:val="HTMLCode"/>
                <w:rFonts w:eastAsiaTheme="minorHAnsi" w:cstheme="minorHAnsi"/>
                <w:bCs/>
                <w:color w:val="000000"/>
                <w:sz w:val="22"/>
                <w:szCs w:val="22"/>
                <w:shd w:val="clear" w:color="auto" w:fill="FFFFFF"/>
              </w:rPr>
              <w:t xml:space="preserve">  </w:t>
            </w:r>
          </w:p>
        </w:tc>
        <w:tc>
          <w:tcPr>
            <w:tcW w:w="2490" w:type="dxa"/>
            <w:shd w:val="clear" w:color="auto" w:fill="auto"/>
          </w:tcPr>
          <w:p w14:paraId="2D22396D" w14:textId="5ABE2911" w:rsidR="00732709" w:rsidRPr="00732709" w:rsidRDefault="00732709" w:rsidP="00F77001">
            <w:pPr>
              <w:jc w:val="center"/>
              <w:rPr>
                <w:b/>
                <w:sz w:val="28"/>
                <w:szCs w:val="28"/>
              </w:rPr>
            </w:pPr>
            <w:r w:rsidRPr="00732709">
              <w:rPr>
                <w:b/>
                <w:sz w:val="28"/>
                <w:szCs w:val="28"/>
              </w:rPr>
              <w:t xml:space="preserve">NEUTRAL </w:t>
            </w:r>
          </w:p>
          <w:p w14:paraId="4C3A488B" w14:textId="5F4EE816" w:rsidR="00732709" w:rsidRDefault="00732709" w:rsidP="00F77001">
            <w:pPr>
              <w:jc w:val="center"/>
              <w:rPr>
                <w:b/>
                <w:sz w:val="28"/>
                <w:szCs w:val="28"/>
              </w:rPr>
            </w:pPr>
            <w:r>
              <w:rPr>
                <w:b/>
                <w:sz w:val="28"/>
                <w:szCs w:val="28"/>
              </w:rPr>
              <w:t>AS AMENDED</w:t>
            </w:r>
          </w:p>
          <w:p w14:paraId="7B76274B" w14:textId="679CE23C" w:rsidR="00732709" w:rsidRDefault="00732709" w:rsidP="00732709">
            <w:pPr>
              <w:jc w:val="center"/>
              <w:rPr>
                <w:b/>
                <w:sz w:val="28"/>
                <w:szCs w:val="28"/>
              </w:rPr>
            </w:pPr>
          </w:p>
        </w:tc>
        <w:tc>
          <w:tcPr>
            <w:tcW w:w="3353" w:type="dxa"/>
            <w:shd w:val="clear" w:color="auto" w:fill="auto"/>
          </w:tcPr>
          <w:p w14:paraId="1A9E39A1" w14:textId="77777777" w:rsidR="00732709" w:rsidRDefault="00732709" w:rsidP="00F77001">
            <w:pPr>
              <w:jc w:val="center"/>
              <w:rPr>
                <w:rFonts w:cstheme="minorHAnsi"/>
                <w:b/>
              </w:rPr>
            </w:pPr>
            <w:r>
              <w:rPr>
                <w:rFonts w:cstheme="minorHAnsi"/>
                <w:b/>
              </w:rPr>
              <w:t>PASSED</w:t>
            </w:r>
          </w:p>
          <w:p w14:paraId="7ECE6DEA" w14:textId="4315A390" w:rsidR="00732709" w:rsidRDefault="00732709" w:rsidP="00A61E0D">
            <w:pPr>
              <w:jc w:val="center"/>
              <w:rPr>
                <w:rFonts w:cstheme="minorHAnsi"/>
                <w:b/>
              </w:rPr>
            </w:pPr>
            <w:r>
              <w:rPr>
                <w:rFonts w:cstheme="minorHAnsi"/>
                <w:b/>
              </w:rPr>
              <w:t>BOTH HOUSES</w:t>
            </w:r>
          </w:p>
        </w:tc>
      </w:tr>
      <w:tr w:rsidR="00732709" w:rsidRPr="008053E4" w14:paraId="7949BE6C" w14:textId="77777777" w:rsidTr="0069444C">
        <w:tc>
          <w:tcPr>
            <w:tcW w:w="1861" w:type="dxa"/>
            <w:shd w:val="clear" w:color="auto" w:fill="auto"/>
          </w:tcPr>
          <w:p w14:paraId="3030AF7E" w14:textId="77777777" w:rsidR="00732709" w:rsidRDefault="00AB3D6F" w:rsidP="00F77001">
            <w:pPr>
              <w:jc w:val="center"/>
              <w:rPr>
                <w:rStyle w:val="Hyperlink"/>
              </w:rPr>
            </w:pPr>
            <w:hyperlink r:id="rId21" w:history="1">
              <w:r w:rsidR="00732709">
                <w:rPr>
                  <w:rStyle w:val="Hyperlink"/>
                </w:rPr>
                <w:t>HB 2405 (Hoffman)</w:t>
              </w:r>
            </w:hyperlink>
          </w:p>
          <w:p w14:paraId="106706A9" w14:textId="56C948FE" w:rsidR="00732709" w:rsidRDefault="00732709" w:rsidP="00F77001">
            <w:pPr>
              <w:jc w:val="center"/>
            </w:pPr>
            <w:r>
              <w:rPr>
                <w:rStyle w:val="Hyperlink"/>
              </w:rPr>
              <w:t xml:space="preserve"> (N. Harris)</w:t>
            </w:r>
          </w:p>
        </w:tc>
        <w:tc>
          <w:tcPr>
            <w:tcW w:w="6781" w:type="dxa"/>
            <w:shd w:val="clear" w:color="auto" w:fill="auto"/>
          </w:tcPr>
          <w:p w14:paraId="026F2959" w14:textId="76132CA5" w:rsidR="00732709" w:rsidRDefault="00732709" w:rsidP="00F77001">
            <w:r w:rsidRPr="00CD2EAF">
              <w:rPr>
                <w:rFonts w:cstheme="minorHAnsi"/>
                <w:color w:val="000000"/>
                <w:shd w:val="clear" w:color="auto" w:fill="FFFFFF"/>
              </w:rPr>
              <w:t xml:space="preserve">Authorizes the Illinois Insurance Guaranty Fund, at the direction of its board of directors and subject to the approval of the Director of Insurance, to form and own a not-for-profit corporation to which the Fund may delegate certain of its powers and duties provided by the Code. Allows the not-for-profit corporation to contract to provide services to the Office of Special Deputy Receiver or any other person or organization authorized by law to carry out the duties of the Director in the capacity of receiver under specified provisions of the Code, the Illinois Life and Health Insurance Guaranty Association, an organization in another state </w:t>
            </w:r>
            <w:proofErr w:type="gramStart"/>
            <w:r w:rsidRPr="00CD2EAF">
              <w:rPr>
                <w:rFonts w:cstheme="minorHAnsi"/>
                <w:color w:val="000000"/>
                <w:shd w:val="clear" w:color="auto" w:fill="FFFFFF"/>
              </w:rPr>
              <w:t>similar to</w:t>
            </w:r>
            <w:proofErr w:type="gramEnd"/>
            <w:r w:rsidRPr="00CD2EAF">
              <w:rPr>
                <w:rFonts w:cstheme="minorHAnsi"/>
                <w:color w:val="000000"/>
                <w:shd w:val="clear" w:color="auto" w:fill="FFFFFF"/>
              </w:rPr>
              <w:t xml:space="preserve"> the Illinois Insurance Guaranty Fund or the Illinois Life and Health Insurance Guaranty Association. </w:t>
            </w:r>
          </w:p>
          <w:p w14:paraId="5B77419B" w14:textId="7D91ED75" w:rsidR="00732709" w:rsidRPr="001B75CF" w:rsidRDefault="00732709" w:rsidP="00F77001">
            <w:pPr>
              <w:rPr>
                <w:rFonts w:ascii="Arial" w:hAnsi="Arial" w:cs="Arial"/>
                <w:b/>
                <w:bCs/>
                <w:color w:val="000000"/>
                <w:sz w:val="20"/>
                <w:szCs w:val="20"/>
                <w:shd w:val="clear" w:color="auto" w:fill="FFFFFF"/>
              </w:rPr>
            </w:pPr>
            <w:r w:rsidRPr="002C62D8">
              <w:rPr>
                <w:rFonts w:cstheme="minorHAnsi"/>
                <w:b/>
                <w:bCs/>
                <w:i/>
                <w:iCs/>
                <w:color w:val="000000"/>
                <w:shd w:val="clear" w:color="auto" w:fill="FFFFFF"/>
              </w:rPr>
              <w:t xml:space="preserve">Effective immediately </w:t>
            </w:r>
          </w:p>
        </w:tc>
        <w:tc>
          <w:tcPr>
            <w:tcW w:w="2490" w:type="dxa"/>
            <w:shd w:val="clear" w:color="auto" w:fill="auto"/>
          </w:tcPr>
          <w:p w14:paraId="091CCAB4" w14:textId="624FA632" w:rsidR="00732709" w:rsidRDefault="00732709" w:rsidP="00F77001">
            <w:pPr>
              <w:jc w:val="center"/>
              <w:rPr>
                <w:b/>
                <w:sz w:val="28"/>
                <w:szCs w:val="28"/>
              </w:rPr>
            </w:pPr>
            <w:r>
              <w:rPr>
                <w:b/>
                <w:sz w:val="28"/>
                <w:szCs w:val="28"/>
              </w:rPr>
              <w:t>NO POSITION</w:t>
            </w:r>
          </w:p>
        </w:tc>
        <w:tc>
          <w:tcPr>
            <w:tcW w:w="3353" w:type="dxa"/>
            <w:shd w:val="clear" w:color="auto" w:fill="auto"/>
          </w:tcPr>
          <w:p w14:paraId="30990461" w14:textId="52F3F71C" w:rsidR="00732709" w:rsidRDefault="00572DE5" w:rsidP="00A61E0D">
            <w:pPr>
              <w:jc w:val="center"/>
              <w:rPr>
                <w:rFonts w:cstheme="minorHAnsi"/>
                <w:b/>
              </w:rPr>
            </w:pPr>
            <w:r>
              <w:rPr>
                <w:rFonts w:cstheme="minorHAnsi"/>
                <w:b/>
              </w:rPr>
              <w:t>SENT TO GOVERNOR</w:t>
            </w:r>
          </w:p>
        </w:tc>
      </w:tr>
      <w:tr w:rsidR="0003391E" w:rsidRPr="008053E4" w14:paraId="75521DF4" w14:textId="77777777" w:rsidTr="0069444C">
        <w:tc>
          <w:tcPr>
            <w:tcW w:w="1861" w:type="dxa"/>
            <w:shd w:val="clear" w:color="auto" w:fill="auto"/>
          </w:tcPr>
          <w:p w14:paraId="130197F5" w14:textId="77777777" w:rsidR="0003391E" w:rsidRDefault="00AB3D6F" w:rsidP="00F77001">
            <w:pPr>
              <w:jc w:val="center"/>
              <w:rPr>
                <w:rStyle w:val="Hyperlink"/>
              </w:rPr>
            </w:pPr>
            <w:hyperlink r:id="rId22" w:history="1">
              <w:r w:rsidR="0003391E">
                <w:rPr>
                  <w:rStyle w:val="Hyperlink"/>
                </w:rPr>
                <w:t>HB 2589 (Conroy)</w:t>
              </w:r>
            </w:hyperlink>
          </w:p>
          <w:p w14:paraId="1C231682" w14:textId="3F2F3F1C" w:rsidR="0003391E" w:rsidRDefault="0003391E" w:rsidP="00F77001">
            <w:pPr>
              <w:jc w:val="center"/>
            </w:pPr>
            <w:r>
              <w:rPr>
                <w:rStyle w:val="Hyperlink"/>
              </w:rPr>
              <w:t>(Fine)</w:t>
            </w:r>
          </w:p>
        </w:tc>
        <w:tc>
          <w:tcPr>
            <w:tcW w:w="6781" w:type="dxa"/>
            <w:shd w:val="clear" w:color="auto" w:fill="auto"/>
          </w:tcPr>
          <w:p w14:paraId="706C0DC4" w14:textId="231F5CC3" w:rsidR="0003391E" w:rsidRPr="00336FDD" w:rsidRDefault="00336FDD" w:rsidP="00F77001">
            <w:r w:rsidRPr="00336FDD">
              <w:rPr>
                <w:rFonts w:cstheme="minorHAnsi"/>
                <w:color w:val="000000"/>
                <w:shd w:val="clear" w:color="auto" w:fill="FFFFFF"/>
              </w:rPr>
              <w:t>H</w:t>
            </w:r>
            <w:r w:rsidRPr="00336FDD">
              <w:t xml:space="preserve">B 2589 mandates coverage </w:t>
            </w:r>
            <w:r w:rsidR="0003391E" w:rsidRPr="00336FDD">
              <w:rPr>
                <w:rFonts w:cstheme="minorHAnsi"/>
              </w:rPr>
              <w:t>for ALL opioid antagonists approved by the FDA in addition to reimbursing a hospital</w:t>
            </w:r>
            <w:r w:rsidR="0003391E" w:rsidRPr="00336FDD">
              <w:rPr>
                <w:rFonts w:cstheme="minorHAnsi"/>
                <w:color w:val="000000"/>
                <w:shd w:val="clear" w:color="auto" w:fill="FFFFFF"/>
              </w:rPr>
              <w:t xml:space="preserve"> for the hospital's cost of any FDA approved opioid antagonist. Identical to </w:t>
            </w:r>
            <w:hyperlink r:id="rId23" w:history="1">
              <w:r w:rsidR="0003391E" w:rsidRPr="00336FDD">
                <w:rPr>
                  <w:rStyle w:val="Hyperlink"/>
                </w:rPr>
                <w:t>SB 679 (Fine)</w:t>
              </w:r>
            </w:hyperlink>
            <w:r w:rsidR="0003391E" w:rsidRPr="00336FDD">
              <w:t xml:space="preserve">. </w:t>
            </w:r>
            <w:r w:rsidRPr="00022A26">
              <w:t>As amended,</w:t>
            </w:r>
            <w:r w:rsidR="0003391E" w:rsidRPr="00022A26">
              <w:t xml:space="preserve"> mandated coverage language from the Insurance Code</w:t>
            </w:r>
            <w:r w:rsidRPr="00022A26">
              <w:t xml:space="preserve"> was removed</w:t>
            </w:r>
            <w:r w:rsidR="0003391E" w:rsidRPr="00022A26">
              <w:rPr>
                <w:b/>
                <w:bCs/>
              </w:rPr>
              <w:t>.</w:t>
            </w:r>
            <w:r w:rsidR="0003391E" w:rsidRPr="00336FDD">
              <w:t xml:space="preserve"> </w:t>
            </w:r>
          </w:p>
          <w:p w14:paraId="09232DC1" w14:textId="7C5902D3" w:rsidR="0003391E" w:rsidRDefault="0003391E" w:rsidP="00F77001">
            <w:pPr>
              <w:rPr>
                <w:rFonts w:ascii="Arial" w:hAnsi="Arial" w:cs="Arial"/>
                <w:color w:val="000000"/>
                <w:sz w:val="20"/>
                <w:szCs w:val="20"/>
                <w:shd w:val="clear" w:color="auto" w:fill="FFFFFF"/>
              </w:rPr>
            </w:pPr>
            <w:r w:rsidRPr="00E06900">
              <w:rPr>
                <w:rStyle w:val="HTMLCode"/>
                <w:rFonts w:asciiTheme="minorHAnsi" w:eastAsiaTheme="minorHAnsi" w:hAnsiTheme="minorHAnsi" w:cstheme="minorHAnsi"/>
                <w:b/>
                <w:bCs/>
                <w:i/>
                <w:iCs/>
                <w:color w:val="000000"/>
                <w:sz w:val="22"/>
                <w:szCs w:val="22"/>
                <w:shd w:val="clear" w:color="auto" w:fill="FFFFFF"/>
              </w:rPr>
              <w:t>Effective January 1, 2022</w:t>
            </w:r>
          </w:p>
        </w:tc>
        <w:tc>
          <w:tcPr>
            <w:tcW w:w="2490" w:type="dxa"/>
            <w:shd w:val="clear" w:color="auto" w:fill="auto"/>
          </w:tcPr>
          <w:p w14:paraId="15230513" w14:textId="15E66272" w:rsidR="0003391E" w:rsidRDefault="0003391E" w:rsidP="00D110F1">
            <w:pPr>
              <w:jc w:val="center"/>
              <w:rPr>
                <w:b/>
                <w:sz w:val="28"/>
                <w:szCs w:val="28"/>
              </w:rPr>
            </w:pPr>
            <w:r>
              <w:rPr>
                <w:b/>
                <w:sz w:val="28"/>
                <w:szCs w:val="28"/>
              </w:rPr>
              <w:t>NEUTRAL</w:t>
            </w:r>
          </w:p>
          <w:p w14:paraId="425B7FBD" w14:textId="77B60A7B" w:rsidR="00336FDD" w:rsidRPr="00336FDD" w:rsidRDefault="00336FDD" w:rsidP="00D110F1">
            <w:pPr>
              <w:jc w:val="center"/>
              <w:rPr>
                <w:b/>
                <w:bCs/>
                <w:sz w:val="28"/>
                <w:szCs w:val="28"/>
              </w:rPr>
            </w:pPr>
            <w:r w:rsidRPr="00336FDD">
              <w:rPr>
                <w:b/>
                <w:bCs/>
                <w:sz w:val="28"/>
                <w:szCs w:val="28"/>
              </w:rPr>
              <w:t>AS AMENDED</w:t>
            </w:r>
          </w:p>
          <w:p w14:paraId="259F0541" w14:textId="35659A8A" w:rsidR="0003391E" w:rsidRDefault="0003391E" w:rsidP="00EC5D44">
            <w:pPr>
              <w:jc w:val="center"/>
              <w:rPr>
                <w:b/>
                <w:sz w:val="28"/>
                <w:szCs w:val="28"/>
              </w:rPr>
            </w:pPr>
          </w:p>
        </w:tc>
        <w:tc>
          <w:tcPr>
            <w:tcW w:w="3353" w:type="dxa"/>
            <w:shd w:val="clear" w:color="auto" w:fill="auto"/>
          </w:tcPr>
          <w:p w14:paraId="4392A688" w14:textId="77777777" w:rsidR="0003391E" w:rsidRDefault="0003391E" w:rsidP="00F77001">
            <w:pPr>
              <w:jc w:val="center"/>
              <w:rPr>
                <w:rFonts w:cstheme="minorHAnsi"/>
                <w:b/>
              </w:rPr>
            </w:pPr>
            <w:r>
              <w:rPr>
                <w:rFonts w:cstheme="minorHAnsi"/>
                <w:b/>
              </w:rPr>
              <w:t>PASSED</w:t>
            </w:r>
          </w:p>
          <w:p w14:paraId="609954AB" w14:textId="6C0B930F" w:rsidR="0003391E" w:rsidRDefault="0003391E" w:rsidP="00F77001">
            <w:pPr>
              <w:jc w:val="center"/>
              <w:rPr>
                <w:rFonts w:cstheme="minorHAnsi"/>
                <w:b/>
              </w:rPr>
            </w:pPr>
            <w:r>
              <w:rPr>
                <w:rFonts w:cstheme="minorHAnsi"/>
                <w:b/>
              </w:rPr>
              <w:t>BOTH HOUSES</w:t>
            </w:r>
          </w:p>
        </w:tc>
      </w:tr>
      <w:bookmarkStart w:id="0" w:name="_Hlk70066621"/>
      <w:tr w:rsidR="0003391E" w:rsidRPr="008053E4" w14:paraId="1985A8E2" w14:textId="77777777" w:rsidTr="0069444C">
        <w:tc>
          <w:tcPr>
            <w:tcW w:w="1861" w:type="dxa"/>
            <w:shd w:val="clear" w:color="auto" w:fill="auto"/>
          </w:tcPr>
          <w:p w14:paraId="3DADA811" w14:textId="77777777" w:rsidR="0003391E" w:rsidRDefault="0003391E" w:rsidP="00F77001">
            <w:pPr>
              <w:jc w:val="center"/>
              <w:rPr>
                <w:rStyle w:val="Hyperlink"/>
              </w:rPr>
            </w:pPr>
            <w:r>
              <w:fldChar w:fldCharType="begin"/>
            </w:r>
            <w:r>
              <w:instrText xml:space="preserve"> HYPERLINK "https://www.ilga.gov/legislation/fulltext.asp?DocName=&amp;SessionId=110&amp;GA=102&amp;DocTypeId=HB&amp;DocNum=2595&amp;GAID=16&amp;LegID=131415&amp;SpecSess=&amp;Session=" </w:instrText>
            </w:r>
            <w:r>
              <w:fldChar w:fldCharType="separate"/>
            </w:r>
            <w:r>
              <w:rPr>
                <w:rStyle w:val="Hyperlink"/>
              </w:rPr>
              <w:t>HB 2595 (Conroy)</w:t>
            </w:r>
            <w:r>
              <w:rPr>
                <w:rStyle w:val="Hyperlink"/>
              </w:rPr>
              <w:fldChar w:fldCharType="end"/>
            </w:r>
            <w:r>
              <w:rPr>
                <w:rStyle w:val="Hyperlink"/>
              </w:rPr>
              <w:t xml:space="preserve"> (Fine)</w:t>
            </w:r>
          </w:p>
          <w:p w14:paraId="4922D648" w14:textId="398D9B5E" w:rsidR="00336FDD" w:rsidRDefault="00336FDD" w:rsidP="00F77001">
            <w:pPr>
              <w:jc w:val="center"/>
            </w:pPr>
            <w:r>
              <w:rPr>
                <w:rStyle w:val="Hyperlink"/>
              </w:rPr>
              <w:t>STOPPED</w:t>
            </w:r>
          </w:p>
        </w:tc>
        <w:tc>
          <w:tcPr>
            <w:tcW w:w="6781" w:type="dxa"/>
            <w:shd w:val="clear" w:color="auto" w:fill="auto"/>
          </w:tcPr>
          <w:p w14:paraId="3446D547" w14:textId="173C11DC" w:rsidR="0003391E" w:rsidRPr="00022A26" w:rsidRDefault="0003391E" w:rsidP="0046199A">
            <w:pPr>
              <w:rPr>
                <w:rFonts w:cstheme="minorHAnsi"/>
                <w:color w:val="000000"/>
                <w:u w:val="single"/>
                <w:shd w:val="clear" w:color="auto" w:fill="FFFFFF"/>
              </w:rPr>
            </w:pPr>
            <w:r w:rsidRPr="004A69CA">
              <w:rPr>
                <w:rFonts w:cstheme="minorHAnsi"/>
                <w:color w:val="000000"/>
                <w:shd w:val="clear" w:color="auto" w:fill="FFFFFF"/>
              </w:rPr>
              <w:t>As amended</w:t>
            </w:r>
            <w:r w:rsidR="00022A26" w:rsidRPr="00022A26">
              <w:rPr>
                <w:rFonts w:cstheme="minorHAnsi"/>
                <w:b/>
                <w:bCs/>
                <w:color w:val="000000"/>
                <w:shd w:val="clear" w:color="auto" w:fill="FFFFFF"/>
              </w:rPr>
              <w:t xml:space="preserve"> </w:t>
            </w:r>
            <w:proofErr w:type="gramStart"/>
            <w:r w:rsidRPr="00022A26">
              <w:rPr>
                <w:rFonts w:cstheme="minorHAnsi"/>
                <w:color w:val="000000"/>
                <w:shd w:val="clear" w:color="auto" w:fill="FFFFFF"/>
              </w:rPr>
              <w:t>Mandates</w:t>
            </w:r>
            <w:proofErr w:type="gramEnd"/>
            <w:r w:rsidRPr="00022A26">
              <w:rPr>
                <w:rFonts w:cstheme="minorHAnsi"/>
                <w:color w:val="000000"/>
                <w:shd w:val="clear" w:color="auto" w:fill="FFFFFF"/>
              </w:rPr>
              <w:t xml:space="preserve"> coverage for medically necessary treatment of mental, emotional, nervous, or substance use disorders or conditions on or after January 1, 2023 (rather than January 1, 2022). Provides that for medical necessity determinations (rather than in conducting utilization review of covered health care services and benefits) relating to level of care placement, continued stay, and transfer or discharge of insureds diagnosed with mental, emotional, and nervous disorders or conditions, insurers shall apply specified patient placement criteria. </w:t>
            </w:r>
            <w:r w:rsidR="00022A26" w:rsidRPr="00022A26">
              <w:rPr>
                <w:rFonts w:cstheme="minorHAnsi"/>
                <w:color w:val="000000"/>
                <w:shd w:val="clear" w:color="auto" w:fill="FFFFFF"/>
              </w:rPr>
              <w:t xml:space="preserve">For non-placement criteria, other criteria may be used. </w:t>
            </w:r>
            <w:r w:rsidRPr="00022A26">
              <w:rPr>
                <w:rFonts w:cstheme="minorHAnsi"/>
                <w:color w:val="000000"/>
                <w:shd w:val="clear" w:color="auto" w:fill="FFFFFF"/>
              </w:rPr>
              <w:t xml:space="preserve">Removes language that provides that insurers shall base the duration of treatment on the insured's individual needs; that an insurer shall only engage applicable qualified providers in the treatment of mental, emotional, nervous, or substance use disorders or conditions or the appropriate subspecialty and who possess an </w:t>
            </w:r>
            <w:r w:rsidRPr="00022A26">
              <w:rPr>
                <w:rFonts w:cstheme="minorHAnsi"/>
                <w:color w:val="000000"/>
                <w:shd w:val="clear" w:color="auto" w:fill="FFFFFF"/>
              </w:rPr>
              <w:lastRenderedPageBreak/>
              <w:t xml:space="preserve">active professional license or certificate to review, approve, or deny services; and that every insurer shall sponsor a formal education program by nonprofit clinical specialty associations. </w:t>
            </w:r>
            <w:r w:rsidRPr="00022A26">
              <w:rPr>
                <w:rFonts w:cstheme="minorHAnsi"/>
                <w:b/>
                <w:bCs/>
                <w:i/>
                <w:iCs/>
                <w:color w:val="000000"/>
                <w:shd w:val="clear" w:color="auto" w:fill="FFFFFF"/>
              </w:rPr>
              <w:t>KFI initiative &amp; priority for 2021.</w:t>
            </w:r>
          </w:p>
          <w:p w14:paraId="5883546F" w14:textId="0A0A78DD" w:rsidR="0003391E" w:rsidRPr="00022A26" w:rsidRDefault="0003391E" w:rsidP="00F77001">
            <w:pPr>
              <w:rPr>
                <w:rFonts w:cstheme="minorHAnsi"/>
                <w:i/>
                <w:iCs/>
                <w:color w:val="000000"/>
                <w:shd w:val="clear" w:color="auto" w:fill="FFFFFF"/>
              </w:rPr>
            </w:pPr>
            <w:r w:rsidRPr="00022A26">
              <w:rPr>
                <w:rFonts w:cstheme="minorHAnsi"/>
                <w:b/>
                <w:bCs/>
                <w:i/>
                <w:iCs/>
                <w:color w:val="000000"/>
                <w:shd w:val="clear" w:color="auto" w:fill="FFFFFF"/>
              </w:rPr>
              <w:t>Effective January 1, 2022, except specified provisions take effect immediately</w:t>
            </w:r>
          </w:p>
        </w:tc>
        <w:tc>
          <w:tcPr>
            <w:tcW w:w="2490" w:type="dxa"/>
            <w:shd w:val="clear" w:color="auto" w:fill="auto"/>
          </w:tcPr>
          <w:p w14:paraId="5BF28304" w14:textId="292204C3" w:rsidR="0003391E" w:rsidRPr="003D3FB0" w:rsidRDefault="0003391E" w:rsidP="00336FDD">
            <w:pPr>
              <w:jc w:val="center"/>
              <w:rPr>
                <w:b/>
                <w:sz w:val="28"/>
                <w:szCs w:val="28"/>
              </w:rPr>
            </w:pPr>
            <w:r w:rsidRPr="003D3FB0">
              <w:rPr>
                <w:b/>
                <w:sz w:val="28"/>
                <w:szCs w:val="28"/>
              </w:rPr>
              <w:lastRenderedPageBreak/>
              <w:t>NEUTRAL</w:t>
            </w:r>
          </w:p>
          <w:p w14:paraId="414AFCB7" w14:textId="4BA8F879" w:rsidR="0003391E" w:rsidRPr="00D73367" w:rsidRDefault="00336FDD" w:rsidP="00336FDD">
            <w:pPr>
              <w:jc w:val="center"/>
              <w:rPr>
                <w:b/>
                <w:sz w:val="28"/>
                <w:szCs w:val="28"/>
                <w:u w:val="single"/>
              </w:rPr>
            </w:pPr>
            <w:r>
              <w:rPr>
                <w:b/>
                <w:sz w:val="28"/>
                <w:szCs w:val="28"/>
              </w:rPr>
              <w:t>AS AMENDED</w:t>
            </w:r>
          </w:p>
        </w:tc>
        <w:tc>
          <w:tcPr>
            <w:tcW w:w="3353" w:type="dxa"/>
            <w:shd w:val="clear" w:color="auto" w:fill="auto"/>
          </w:tcPr>
          <w:p w14:paraId="52D82056" w14:textId="77777777" w:rsidR="0003391E" w:rsidRDefault="0003391E" w:rsidP="00F77001">
            <w:pPr>
              <w:jc w:val="center"/>
              <w:rPr>
                <w:rFonts w:cstheme="minorHAnsi"/>
                <w:b/>
              </w:rPr>
            </w:pPr>
            <w:r>
              <w:rPr>
                <w:rFonts w:cstheme="minorHAnsi"/>
                <w:b/>
              </w:rPr>
              <w:t xml:space="preserve">PASSED </w:t>
            </w:r>
          </w:p>
          <w:p w14:paraId="74CDE2E0" w14:textId="485D5A62" w:rsidR="0003391E" w:rsidRDefault="0003391E" w:rsidP="00F77001">
            <w:pPr>
              <w:jc w:val="center"/>
              <w:rPr>
                <w:rFonts w:cstheme="minorHAnsi"/>
                <w:b/>
              </w:rPr>
            </w:pPr>
            <w:r>
              <w:rPr>
                <w:rFonts w:cstheme="minorHAnsi"/>
                <w:b/>
              </w:rPr>
              <w:t>BOTH HOUSES</w:t>
            </w:r>
          </w:p>
        </w:tc>
      </w:tr>
      <w:bookmarkEnd w:id="0"/>
      <w:tr w:rsidR="0003391E" w:rsidRPr="008053E4" w14:paraId="4D331253" w14:textId="77777777" w:rsidTr="0069444C">
        <w:tc>
          <w:tcPr>
            <w:tcW w:w="1861" w:type="dxa"/>
            <w:shd w:val="clear" w:color="auto" w:fill="auto"/>
          </w:tcPr>
          <w:p w14:paraId="046241A6" w14:textId="228C1A95" w:rsidR="0003391E" w:rsidRDefault="0003391E" w:rsidP="00F77001">
            <w:pPr>
              <w:jc w:val="center"/>
            </w:pPr>
            <w:r>
              <w:fldChar w:fldCharType="begin"/>
            </w:r>
            <w:r>
              <w:instrText xml:space="preserve"> HYPERLINK "https://www.ilga.gov/legislation/fulltext.asp?DocName=&amp;SessionId=110&amp;GA=102&amp;DocTypeId=HB&amp;DocNum=2653&amp;GAID=16&amp;LegID=131491&amp;SpecSess=&amp;Session=" </w:instrText>
            </w:r>
            <w:r>
              <w:fldChar w:fldCharType="separate"/>
            </w:r>
            <w:r>
              <w:rPr>
                <w:rStyle w:val="Hyperlink"/>
              </w:rPr>
              <w:t>HB 2653 (Mason)</w:t>
            </w:r>
            <w:r>
              <w:rPr>
                <w:rStyle w:val="Hyperlink"/>
              </w:rPr>
              <w:fldChar w:fldCharType="end"/>
            </w:r>
            <w:r>
              <w:rPr>
                <w:rStyle w:val="Hyperlink"/>
              </w:rPr>
              <w:t xml:space="preserve"> (Johnson)</w:t>
            </w:r>
          </w:p>
        </w:tc>
        <w:tc>
          <w:tcPr>
            <w:tcW w:w="6781" w:type="dxa"/>
            <w:shd w:val="clear" w:color="auto" w:fill="auto"/>
          </w:tcPr>
          <w:p w14:paraId="227E19ED" w14:textId="77777777" w:rsidR="0003391E" w:rsidRDefault="0003391E" w:rsidP="00F77001">
            <w:pPr>
              <w:rPr>
                <w:rFonts w:cstheme="minorHAnsi"/>
                <w:color w:val="000000"/>
                <w:shd w:val="clear" w:color="auto" w:fill="FFFFFF"/>
              </w:rPr>
            </w:pPr>
            <w:r w:rsidRPr="00C04A94">
              <w:rPr>
                <w:rFonts w:cstheme="minorHAnsi"/>
                <w:color w:val="000000"/>
                <w:shd w:val="clear" w:color="auto" w:fill="FFFFFF"/>
              </w:rPr>
              <w:t xml:space="preserve">Mandates first dollar coverage for a diagnostic colonoscopy.  The provisions include HSA tax preservation language. </w:t>
            </w:r>
          </w:p>
          <w:p w14:paraId="487D2BE9" w14:textId="5AB5618D" w:rsidR="0003391E" w:rsidRPr="00CD2EAF" w:rsidRDefault="0003391E" w:rsidP="002C62D8">
            <w:pPr>
              <w:rPr>
                <w:rFonts w:cstheme="minorHAnsi"/>
                <w:color w:val="000000"/>
                <w:shd w:val="clear" w:color="auto" w:fill="FFFFFF"/>
              </w:rPr>
            </w:pPr>
            <w:r w:rsidRPr="00C04A94">
              <w:rPr>
                <w:rFonts w:cstheme="minorHAnsi"/>
                <w:color w:val="000000"/>
                <w:shd w:val="clear" w:color="auto" w:fill="FFFFFF"/>
              </w:rPr>
              <w:t xml:space="preserve"> </w:t>
            </w:r>
            <w:r w:rsidRPr="00E06900">
              <w:rPr>
                <w:rStyle w:val="HTMLCode"/>
                <w:rFonts w:asciiTheme="minorHAnsi" w:eastAsiaTheme="minorHAnsi" w:hAnsiTheme="minorHAnsi" w:cstheme="minorHAnsi"/>
                <w:b/>
                <w:bCs/>
                <w:i/>
                <w:iCs/>
                <w:color w:val="000000"/>
                <w:sz w:val="22"/>
                <w:szCs w:val="22"/>
                <w:shd w:val="clear" w:color="auto" w:fill="FFFFFF"/>
              </w:rPr>
              <w:t>Effective January 1, 2022</w:t>
            </w:r>
          </w:p>
        </w:tc>
        <w:tc>
          <w:tcPr>
            <w:tcW w:w="2490" w:type="dxa"/>
            <w:shd w:val="clear" w:color="auto" w:fill="auto"/>
          </w:tcPr>
          <w:p w14:paraId="050A62BD" w14:textId="056704AE" w:rsidR="0003391E" w:rsidRDefault="0003391E" w:rsidP="00F77001">
            <w:pPr>
              <w:jc w:val="center"/>
              <w:rPr>
                <w:b/>
                <w:sz w:val="28"/>
                <w:szCs w:val="28"/>
              </w:rPr>
            </w:pPr>
            <w:r>
              <w:rPr>
                <w:b/>
                <w:sz w:val="28"/>
                <w:szCs w:val="28"/>
              </w:rPr>
              <w:t>NEUTRAL</w:t>
            </w:r>
          </w:p>
        </w:tc>
        <w:tc>
          <w:tcPr>
            <w:tcW w:w="3353" w:type="dxa"/>
            <w:shd w:val="clear" w:color="auto" w:fill="auto"/>
          </w:tcPr>
          <w:p w14:paraId="7A7A9F02" w14:textId="4E7780A9" w:rsidR="0003391E" w:rsidRDefault="00572DE5" w:rsidP="00A61E0D">
            <w:pPr>
              <w:jc w:val="center"/>
              <w:rPr>
                <w:rFonts w:cstheme="minorHAnsi"/>
                <w:b/>
              </w:rPr>
            </w:pPr>
            <w:r>
              <w:rPr>
                <w:rFonts w:cstheme="minorHAnsi"/>
                <w:b/>
              </w:rPr>
              <w:t>SENT TO GOVERNOR</w:t>
            </w:r>
          </w:p>
        </w:tc>
      </w:tr>
      <w:tr w:rsidR="0003391E" w:rsidRPr="008053E4" w14:paraId="0FF12C4A" w14:textId="77777777" w:rsidTr="0069444C">
        <w:tc>
          <w:tcPr>
            <w:tcW w:w="1861" w:type="dxa"/>
            <w:shd w:val="clear" w:color="auto" w:fill="auto"/>
          </w:tcPr>
          <w:p w14:paraId="00A3F2D9" w14:textId="31B6CC74" w:rsidR="0003391E" w:rsidRDefault="00AB3D6F" w:rsidP="007C3595">
            <w:pPr>
              <w:jc w:val="center"/>
            </w:pPr>
            <w:hyperlink r:id="rId24" w:history="1">
              <w:r w:rsidR="0003391E">
                <w:rPr>
                  <w:rStyle w:val="Hyperlink"/>
                </w:rPr>
                <w:t>HB 3175 (Jones)</w:t>
              </w:r>
            </w:hyperlink>
            <w:r w:rsidR="0003391E">
              <w:rPr>
                <w:rStyle w:val="Hyperlink"/>
              </w:rPr>
              <w:t xml:space="preserve"> (Gillespie)</w:t>
            </w:r>
          </w:p>
        </w:tc>
        <w:tc>
          <w:tcPr>
            <w:tcW w:w="6781" w:type="dxa"/>
            <w:shd w:val="clear" w:color="auto" w:fill="auto"/>
          </w:tcPr>
          <w:p w14:paraId="21B63982" w14:textId="77777777" w:rsidR="0003391E" w:rsidRDefault="0003391E" w:rsidP="00F77001">
            <w:r w:rsidRPr="00F94767">
              <w:rPr>
                <w:rStyle w:val="HTMLCode"/>
                <w:rFonts w:asciiTheme="minorHAnsi" w:eastAsiaTheme="minorHAnsi" w:hAnsiTheme="minorHAnsi"/>
                <w:b/>
                <w:bCs/>
                <w:i/>
                <w:iCs/>
                <w:color w:val="000000"/>
                <w:sz w:val="22"/>
                <w:szCs w:val="22"/>
                <w:shd w:val="clear" w:color="auto" w:fill="FFFFFF"/>
              </w:rPr>
              <w:t>DOI Initiative</w:t>
            </w:r>
            <w:r>
              <w:rPr>
                <w:rStyle w:val="HTMLCode"/>
                <w:rFonts w:asciiTheme="minorHAnsi" w:eastAsiaTheme="minorHAnsi" w:hAnsiTheme="minorHAnsi"/>
                <w:b/>
                <w:bCs/>
                <w:i/>
                <w:iCs/>
                <w:color w:val="000000"/>
                <w:sz w:val="22"/>
                <w:szCs w:val="22"/>
                <w:shd w:val="clear" w:color="auto" w:fill="FFFFFF"/>
              </w:rPr>
              <w:t xml:space="preserve"> </w:t>
            </w:r>
            <w:r w:rsidRPr="00F94767">
              <w:rPr>
                <w:rStyle w:val="HTMLCode"/>
                <w:rFonts w:asciiTheme="minorHAnsi" w:eastAsiaTheme="minorHAnsi" w:hAnsiTheme="minorHAnsi"/>
                <w:color w:val="000000"/>
                <w:sz w:val="22"/>
                <w:szCs w:val="22"/>
                <w:shd w:val="clear" w:color="auto" w:fill="FFFFFF"/>
              </w:rPr>
              <w:t>increasing the wellness coverage cap from 20% to 30% per federal rules and further provides for clean-up of the Navigator Certification Act</w:t>
            </w:r>
            <w:r>
              <w:rPr>
                <w:rStyle w:val="HTMLCode"/>
                <w:rFonts w:asciiTheme="minorHAnsi" w:eastAsiaTheme="minorHAnsi" w:hAnsiTheme="minorHAnsi"/>
                <w:color w:val="000000"/>
                <w:sz w:val="22"/>
                <w:szCs w:val="22"/>
                <w:shd w:val="clear" w:color="auto" w:fill="FFFFFF"/>
              </w:rPr>
              <w:t xml:space="preserve">.  Identical to </w:t>
            </w:r>
            <w:hyperlink r:id="rId25" w:history="1">
              <w:r>
                <w:rPr>
                  <w:rStyle w:val="Hyperlink"/>
                </w:rPr>
                <w:t>SB 2294 (Gillespie)</w:t>
              </w:r>
            </w:hyperlink>
            <w:r>
              <w:t xml:space="preserve">.  </w:t>
            </w:r>
          </w:p>
          <w:p w14:paraId="2CA810ED" w14:textId="66C8E32D" w:rsidR="0003391E" w:rsidRPr="007C3595" w:rsidRDefault="0003391E" w:rsidP="007C3595">
            <w:pPr>
              <w:rPr>
                <w:rFonts w:cstheme="minorHAnsi"/>
                <w:color w:val="000000"/>
                <w:shd w:val="clear" w:color="auto" w:fill="FFFFFF"/>
              </w:rPr>
            </w:pPr>
            <w:r w:rsidRPr="0046199A">
              <w:rPr>
                <w:b/>
                <w:bCs/>
                <w:i/>
                <w:iCs/>
              </w:rPr>
              <w:t>Effective Immediately</w:t>
            </w:r>
          </w:p>
        </w:tc>
        <w:tc>
          <w:tcPr>
            <w:tcW w:w="2490" w:type="dxa"/>
            <w:shd w:val="clear" w:color="auto" w:fill="auto"/>
          </w:tcPr>
          <w:p w14:paraId="469E2060" w14:textId="3D0A53F8" w:rsidR="0003391E" w:rsidRPr="007C3595" w:rsidRDefault="0003391E" w:rsidP="007C3595">
            <w:pPr>
              <w:jc w:val="center"/>
              <w:rPr>
                <w:b/>
                <w:i/>
                <w:iCs/>
                <w:sz w:val="28"/>
                <w:szCs w:val="28"/>
              </w:rPr>
            </w:pPr>
            <w:r>
              <w:rPr>
                <w:b/>
                <w:sz w:val="28"/>
                <w:szCs w:val="28"/>
              </w:rPr>
              <w:t>NO POSITION</w:t>
            </w:r>
          </w:p>
        </w:tc>
        <w:tc>
          <w:tcPr>
            <w:tcW w:w="3353" w:type="dxa"/>
            <w:shd w:val="clear" w:color="auto" w:fill="auto"/>
          </w:tcPr>
          <w:p w14:paraId="3B4CE4C5" w14:textId="65FC256A" w:rsidR="0003391E" w:rsidRDefault="00572DE5" w:rsidP="007C3595">
            <w:pPr>
              <w:jc w:val="center"/>
              <w:rPr>
                <w:rFonts w:cstheme="minorHAnsi"/>
                <w:b/>
              </w:rPr>
            </w:pPr>
            <w:r>
              <w:rPr>
                <w:rFonts w:cstheme="minorHAnsi"/>
                <w:b/>
              </w:rPr>
              <w:t>SENT TO GOVERNOR</w:t>
            </w:r>
          </w:p>
        </w:tc>
      </w:tr>
      <w:tr w:rsidR="0003391E" w:rsidRPr="008053E4" w14:paraId="39254DB6" w14:textId="77777777" w:rsidTr="0069444C">
        <w:tc>
          <w:tcPr>
            <w:tcW w:w="1861" w:type="dxa"/>
            <w:shd w:val="clear" w:color="auto" w:fill="auto"/>
          </w:tcPr>
          <w:p w14:paraId="128843A8" w14:textId="6741ACB5" w:rsidR="0003391E" w:rsidRPr="00B45359" w:rsidRDefault="00AB3D6F" w:rsidP="00B45359">
            <w:pPr>
              <w:jc w:val="center"/>
              <w:rPr>
                <w:color w:val="0000FF"/>
                <w:u w:val="single"/>
              </w:rPr>
            </w:pPr>
            <w:hyperlink r:id="rId26" w:history="1">
              <w:r w:rsidR="0003391E" w:rsidRPr="007C3595">
                <w:rPr>
                  <w:rStyle w:val="Hyperlink"/>
                </w:rPr>
                <w:t>HB 3308 (Jones)</w:t>
              </w:r>
            </w:hyperlink>
            <w:r w:rsidR="0003391E">
              <w:rPr>
                <w:rStyle w:val="Hyperlink"/>
              </w:rPr>
              <w:t xml:space="preserve"> (N. Harris)</w:t>
            </w:r>
          </w:p>
        </w:tc>
        <w:tc>
          <w:tcPr>
            <w:tcW w:w="6781" w:type="dxa"/>
            <w:shd w:val="clear" w:color="auto" w:fill="auto"/>
          </w:tcPr>
          <w:p w14:paraId="28C6AB2C" w14:textId="4ECB7D3E" w:rsidR="0003391E" w:rsidRPr="00022A26" w:rsidRDefault="0003391E" w:rsidP="00022A26">
            <w:r w:rsidRPr="004A69CA">
              <w:t>As amended</w:t>
            </w:r>
            <w:r w:rsidR="00022A26" w:rsidRPr="004A69CA">
              <w:t>, HB3308</w:t>
            </w:r>
            <w:r w:rsidRPr="00022A26">
              <w:t xml:space="preserve"> includes:</w:t>
            </w:r>
            <w:r w:rsidR="00022A26" w:rsidRPr="00022A26">
              <w:t xml:space="preserve"> 1 )</w:t>
            </w:r>
            <w:r w:rsidRPr="00022A26">
              <w:t>Permanent payment parity for behavioral health</w:t>
            </w:r>
            <w:r w:rsidR="00022A26" w:rsidRPr="00022A26">
              <w:t>;  2)</w:t>
            </w:r>
            <w:r w:rsidRPr="00022A26">
              <w:t>Physical health parity with a 5-year sunset</w:t>
            </w:r>
            <w:r w:rsidR="00022A26" w:rsidRPr="00022A26">
              <w:t>; 3)</w:t>
            </w:r>
            <w:r w:rsidRPr="00022A26">
              <w:t>Payment parity provisions are explicit that if a service cannot be billed as an in-person service, then it is not subject to parity.  Provisions also allow for negotiation of alternative reimbursement rates</w:t>
            </w:r>
            <w:r w:rsidR="00022A26" w:rsidRPr="00022A26">
              <w:t xml:space="preserve">; 4) </w:t>
            </w:r>
            <w:r w:rsidRPr="00022A26">
              <w:t>Originating site reimbursement is permissive and may be considered if the site is a facility</w:t>
            </w:r>
            <w:r w:rsidR="00022A26" w:rsidRPr="00022A26">
              <w:t>; 5)</w:t>
            </w:r>
            <w:r w:rsidRPr="00022A26">
              <w:t>IDPH and DOI will commission a study for telehealth utilization, impact on access, outcomes, and health equity, as well as cost to be reported out in 2026</w:t>
            </w:r>
            <w:r w:rsidR="00022A26" w:rsidRPr="00022A26">
              <w:t>; 6)</w:t>
            </w:r>
            <w:r w:rsidRPr="00022A26">
              <w:t>Medicaid is not included in the language.</w:t>
            </w:r>
            <w:r w:rsidRPr="00022A26">
              <w:rPr>
                <w:b/>
                <w:bCs/>
              </w:rPr>
              <w:t xml:space="preserve">  </w:t>
            </w:r>
          </w:p>
          <w:p w14:paraId="10983C28" w14:textId="68A18608" w:rsidR="0003391E" w:rsidRDefault="0003391E" w:rsidP="00F77001">
            <w:pPr>
              <w:rPr>
                <w:rFonts w:ascii="Arial" w:hAnsi="Arial" w:cs="Arial"/>
                <w:color w:val="000000"/>
                <w:sz w:val="20"/>
                <w:szCs w:val="20"/>
                <w:shd w:val="clear" w:color="auto" w:fill="FFFFFF"/>
              </w:rPr>
            </w:pPr>
            <w:r w:rsidRPr="00D31B03">
              <w:rPr>
                <w:rStyle w:val="HTMLCode"/>
                <w:rFonts w:asciiTheme="minorHAnsi" w:eastAsiaTheme="minorHAnsi" w:hAnsiTheme="minorHAnsi" w:cstheme="minorHAnsi"/>
                <w:b/>
                <w:bCs/>
                <w:i/>
                <w:iCs/>
                <w:color w:val="000000"/>
                <w:sz w:val="22"/>
                <w:szCs w:val="22"/>
                <w:shd w:val="clear" w:color="auto" w:fill="FFFFFF"/>
              </w:rPr>
              <w:t>Effective Immediately</w:t>
            </w:r>
          </w:p>
        </w:tc>
        <w:tc>
          <w:tcPr>
            <w:tcW w:w="2490" w:type="dxa"/>
            <w:shd w:val="clear" w:color="auto" w:fill="auto"/>
          </w:tcPr>
          <w:p w14:paraId="2B13D7B1" w14:textId="77777777" w:rsidR="0003391E" w:rsidRDefault="0003391E" w:rsidP="00022A26">
            <w:pPr>
              <w:jc w:val="center"/>
              <w:rPr>
                <w:b/>
                <w:sz w:val="28"/>
                <w:szCs w:val="28"/>
              </w:rPr>
            </w:pPr>
            <w:r w:rsidRPr="00C12495">
              <w:rPr>
                <w:b/>
                <w:sz w:val="28"/>
                <w:szCs w:val="28"/>
              </w:rPr>
              <w:t>SUPPORT</w:t>
            </w:r>
          </w:p>
          <w:p w14:paraId="3B487FE1" w14:textId="69D1A49C" w:rsidR="0003391E" w:rsidRDefault="00022A26" w:rsidP="00022A26">
            <w:pPr>
              <w:jc w:val="center"/>
              <w:rPr>
                <w:b/>
                <w:sz w:val="28"/>
                <w:szCs w:val="28"/>
              </w:rPr>
            </w:pPr>
            <w:r>
              <w:rPr>
                <w:b/>
                <w:sz w:val="28"/>
                <w:szCs w:val="28"/>
              </w:rPr>
              <w:t>AS AMENDED</w:t>
            </w:r>
          </w:p>
        </w:tc>
        <w:tc>
          <w:tcPr>
            <w:tcW w:w="3353" w:type="dxa"/>
            <w:shd w:val="clear" w:color="auto" w:fill="auto"/>
          </w:tcPr>
          <w:p w14:paraId="37D48DD0" w14:textId="77777777" w:rsidR="0003391E" w:rsidRDefault="0003391E" w:rsidP="00437D4D">
            <w:pPr>
              <w:jc w:val="center"/>
              <w:rPr>
                <w:rFonts w:cstheme="minorHAnsi"/>
                <w:b/>
              </w:rPr>
            </w:pPr>
            <w:r>
              <w:rPr>
                <w:rFonts w:cstheme="minorHAnsi"/>
                <w:b/>
              </w:rPr>
              <w:t>PASSED</w:t>
            </w:r>
          </w:p>
          <w:p w14:paraId="675EC12A" w14:textId="705125F9" w:rsidR="0003391E" w:rsidRDefault="0003391E" w:rsidP="00F77001">
            <w:pPr>
              <w:jc w:val="center"/>
              <w:rPr>
                <w:rFonts w:cstheme="minorHAnsi"/>
                <w:b/>
              </w:rPr>
            </w:pPr>
            <w:r>
              <w:rPr>
                <w:rFonts w:cstheme="minorHAnsi"/>
                <w:b/>
              </w:rPr>
              <w:t>BOTH HOUSES</w:t>
            </w:r>
          </w:p>
        </w:tc>
      </w:tr>
      <w:tr w:rsidR="0003391E" w:rsidRPr="008053E4" w14:paraId="4B5752CD" w14:textId="77777777" w:rsidTr="0069444C">
        <w:tc>
          <w:tcPr>
            <w:tcW w:w="1861" w:type="dxa"/>
            <w:shd w:val="clear" w:color="auto" w:fill="auto"/>
          </w:tcPr>
          <w:p w14:paraId="35DA1346" w14:textId="57247EC2" w:rsidR="0003391E" w:rsidRDefault="00AB3D6F" w:rsidP="00F77001">
            <w:pPr>
              <w:jc w:val="center"/>
            </w:pPr>
            <w:hyperlink r:id="rId27" w:history="1">
              <w:r w:rsidR="0003391E">
                <w:rPr>
                  <w:rStyle w:val="Hyperlink"/>
                </w:rPr>
                <w:t>HB 3598 (Avelar)</w:t>
              </w:r>
            </w:hyperlink>
            <w:r w:rsidR="0003391E">
              <w:rPr>
                <w:rStyle w:val="Hyperlink"/>
              </w:rPr>
              <w:t xml:space="preserve"> (Castro)</w:t>
            </w:r>
          </w:p>
        </w:tc>
        <w:tc>
          <w:tcPr>
            <w:tcW w:w="6781" w:type="dxa"/>
            <w:shd w:val="clear" w:color="auto" w:fill="auto"/>
          </w:tcPr>
          <w:p w14:paraId="1398019D" w14:textId="77777777" w:rsidR="0003391E" w:rsidRDefault="0003391E" w:rsidP="00F77001">
            <w:pPr>
              <w:rPr>
                <w:rStyle w:val="HTMLCode"/>
                <w:rFonts w:asciiTheme="minorHAnsi" w:eastAsiaTheme="minorHAnsi" w:hAnsiTheme="minorHAnsi"/>
                <w:color w:val="000000"/>
                <w:sz w:val="22"/>
                <w:szCs w:val="22"/>
                <w:shd w:val="clear" w:color="auto" w:fill="FFFFFF"/>
              </w:rPr>
            </w:pPr>
            <w:r>
              <w:rPr>
                <w:rStyle w:val="HTMLCode"/>
                <w:rFonts w:asciiTheme="minorHAnsi" w:eastAsiaTheme="minorHAnsi" w:hAnsiTheme="minorHAnsi"/>
                <w:color w:val="000000"/>
                <w:sz w:val="22"/>
                <w:szCs w:val="22"/>
                <w:shd w:val="clear" w:color="auto" w:fill="FFFFFF"/>
              </w:rPr>
              <w:t>Requires companies</w:t>
            </w:r>
            <w:r w:rsidRPr="00BA3F91">
              <w:rPr>
                <w:rStyle w:val="HTMLCode"/>
                <w:rFonts w:asciiTheme="minorHAnsi" w:eastAsiaTheme="minorHAnsi" w:hAnsiTheme="minorHAnsi"/>
                <w:color w:val="000000"/>
                <w:sz w:val="22"/>
                <w:szCs w:val="22"/>
                <w:shd w:val="clear" w:color="auto" w:fill="FFFFFF"/>
              </w:rPr>
              <w:t xml:space="preserve"> that issue group policies of accident and health insurance </w:t>
            </w:r>
            <w:r>
              <w:rPr>
                <w:rStyle w:val="HTMLCode"/>
                <w:rFonts w:asciiTheme="minorHAnsi" w:eastAsiaTheme="minorHAnsi" w:hAnsiTheme="minorHAnsi"/>
                <w:color w:val="000000"/>
                <w:sz w:val="22"/>
                <w:szCs w:val="22"/>
                <w:shd w:val="clear" w:color="auto" w:fill="FFFFFF"/>
              </w:rPr>
              <w:t>to offer</w:t>
            </w:r>
            <w:r w:rsidRPr="00BA3F91">
              <w:rPr>
                <w:rStyle w:val="HTMLCode"/>
                <w:rFonts w:asciiTheme="minorHAnsi" w:eastAsiaTheme="minorHAnsi" w:hAnsiTheme="minorHAnsi"/>
                <w:color w:val="000000"/>
                <w:sz w:val="22"/>
                <w:szCs w:val="22"/>
                <w:shd w:val="clear" w:color="auto" w:fill="FFFFFF"/>
              </w:rPr>
              <w:t xml:space="preserve"> such policies to local chambers of commerce. </w:t>
            </w:r>
          </w:p>
          <w:p w14:paraId="0A222F70" w14:textId="4982AA8B" w:rsidR="0003391E" w:rsidRPr="00FF2742" w:rsidRDefault="0003391E" w:rsidP="00F77001">
            <w:pPr>
              <w:rPr>
                <w:rFonts w:cstheme="minorHAnsi"/>
                <w:color w:val="000000"/>
                <w:shd w:val="clear" w:color="auto" w:fill="FFFFFF"/>
              </w:rPr>
            </w:pPr>
            <w:r w:rsidRPr="00E06900">
              <w:rPr>
                <w:rStyle w:val="HTMLCode"/>
                <w:rFonts w:asciiTheme="minorHAnsi" w:eastAsiaTheme="minorHAnsi" w:hAnsiTheme="minorHAnsi" w:cstheme="minorHAnsi"/>
                <w:b/>
                <w:bCs/>
                <w:i/>
                <w:iCs/>
                <w:color w:val="000000"/>
                <w:sz w:val="22"/>
                <w:szCs w:val="22"/>
                <w:shd w:val="clear" w:color="auto" w:fill="FFFFFF"/>
              </w:rPr>
              <w:t>Effective January 1, 2022</w:t>
            </w:r>
          </w:p>
        </w:tc>
        <w:tc>
          <w:tcPr>
            <w:tcW w:w="2490" w:type="dxa"/>
            <w:shd w:val="clear" w:color="auto" w:fill="auto"/>
          </w:tcPr>
          <w:p w14:paraId="34D56D6A" w14:textId="77777777" w:rsidR="0003391E" w:rsidRPr="002114FE" w:rsidRDefault="0003391E" w:rsidP="00C04A94">
            <w:pPr>
              <w:jc w:val="center"/>
              <w:rPr>
                <w:b/>
                <w:sz w:val="28"/>
                <w:szCs w:val="28"/>
              </w:rPr>
            </w:pPr>
            <w:r w:rsidRPr="002114FE">
              <w:rPr>
                <w:b/>
                <w:sz w:val="28"/>
                <w:szCs w:val="28"/>
              </w:rPr>
              <w:t>NEUTRAL</w:t>
            </w:r>
          </w:p>
          <w:p w14:paraId="5C828858" w14:textId="62788696" w:rsidR="0003391E" w:rsidRPr="00C12495" w:rsidRDefault="0003391E" w:rsidP="0046199A">
            <w:pPr>
              <w:jc w:val="center"/>
              <w:rPr>
                <w:b/>
                <w:sz w:val="28"/>
                <w:szCs w:val="28"/>
              </w:rPr>
            </w:pPr>
          </w:p>
        </w:tc>
        <w:tc>
          <w:tcPr>
            <w:tcW w:w="3353" w:type="dxa"/>
            <w:shd w:val="clear" w:color="auto" w:fill="auto"/>
          </w:tcPr>
          <w:p w14:paraId="16C91CAA" w14:textId="77777777" w:rsidR="0003391E" w:rsidRDefault="0003391E" w:rsidP="00437D4D">
            <w:pPr>
              <w:jc w:val="center"/>
              <w:rPr>
                <w:rFonts w:cstheme="minorHAnsi"/>
                <w:b/>
              </w:rPr>
            </w:pPr>
            <w:r>
              <w:rPr>
                <w:rFonts w:cstheme="minorHAnsi"/>
                <w:b/>
              </w:rPr>
              <w:t>PASSED</w:t>
            </w:r>
          </w:p>
          <w:p w14:paraId="16B57BB3" w14:textId="3C5D6586" w:rsidR="0003391E" w:rsidRDefault="0003391E" w:rsidP="00F77001">
            <w:pPr>
              <w:jc w:val="center"/>
              <w:rPr>
                <w:rFonts w:cstheme="minorHAnsi"/>
                <w:b/>
              </w:rPr>
            </w:pPr>
            <w:r>
              <w:rPr>
                <w:rFonts w:cstheme="minorHAnsi"/>
                <w:b/>
              </w:rPr>
              <w:t>BOTH HOUSES</w:t>
            </w:r>
          </w:p>
        </w:tc>
      </w:tr>
      <w:tr w:rsidR="0003391E" w:rsidRPr="008053E4" w14:paraId="2BD8DDD8" w14:textId="77777777" w:rsidTr="0069444C">
        <w:tc>
          <w:tcPr>
            <w:tcW w:w="1861" w:type="dxa"/>
            <w:shd w:val="clear" w:color="auto" w:fill="auto"/>
          </w:tcPr>
          <w:p w14:paraId="0AE0BF0E" w14:textId="77777777" w:rsidR="0003391E" w:rsidRDefault="00AB3D6F" w:rsidP="00647968">
            <w:pPr>
              <w:jc w:val="center"/>
              <w:rPr>
                <w:rStyle w:val="Hyperlink"/>
              </w:rPr>
            </w:pPr>
            <w:hyperlink r:id="rId28" w:history="1">
              <w:r w:rsidR="0003391E">
                <w:rPr>
                  <w:rStyle w:val="Hyperlink"/>
                </w:rPr>
                <w:t>HB 3709 (Croke)</w:t>
              </w:r>
            </w:hyperlink>
          </w:p>
          <w:p w14:paraId="6CB218A1" w14:textId="6B0E3B06" w:rsidR="0003391E" w:rsidRDefault="0003391E" w:rsidP="00F77001">
            <w:pPr>
              <w:jc w:val="center"/>
            </w:pPr>
            <w:r>
              <w:rPr>
                <w:rStyle w:val="Hyperlink"/>
              </w:rPr>
              <w:t>(Fine)</w:t>
            </w:r>
          </w:p>
        </w:tc>
        <w:tc>
          <w:tcPr>
            <w:tcW w:w="6781" w:type="dxa"/>
            <w:shd w:val="clear" w:color="auto" w:fill="auto"/>
          </w:tcPr>
          <w:p w14:paraId="119A7E49" w14:textId="3E0759AE" w:rsidR="0003391E" w:rsidRPr="003B75C0" w:rsidRDefault="0003391E" w:rsidP="00647968">
            <w:r w:rsidRPr="003B75C0">
              <w:rPr>
                <w:rStyle w:val="HTMLCode"/>
                <w:rFonts w:asciiTheme="minorHAnsi" w:eastAsiaTheme="minorHAnsi" w:hAnsiTheme="minorHAnsi"/>
                <w:color w:val="000000"/>
                <w:sz w:val="22"/>
                <w:szCs w:val="22"/>
                <w:shd w:val="clear" w:color="auto" w:fill="FFFFFF"/>
              </w:rPr>
              <w:t>As amended</w:t>
            </w:r>
            <w:r w:rsidRPr="003B75C0">
              <w:t xml:space="preserve">, </w:t>
            </w:r>
            <w:r w:rsidR="00BB2D94">
              <w:t>shortens one year wait requirement of unsuccessful pregnancy before coverage begins for individuals with a diagnosed medical condition.</w:t>
            </w:r>
            <w:r w:rsidRPr="003B75C0">
              <w:t xml:space="preserve"> For those women aged 35 or older who are otherwise able to conceive shall only be required to a 6-month waiting period for coverage. </w:t>
            </w:r>
          </w:p>
          <w:p w14:paraId="0767D191" w14:textId="6EEB784E" w:rsidR="0003391E" w:rsidRPr="003B09A6" w:rsidRDefault="0003391E" w:rsidP="0046199A">
            <w:pPr>
              <w:rPr>
                <w:rFonts w:cstheme="minorHAnsi"/>
                <w:color w:val="000000"/>
                <w:shd w:val="clear" w:color="auto" w:fill="FFFFFF"/>
              </w:rPr>
            </w:pPr>
            <w:r w:rsidRPr="0083094E">
              <w:rPr>
                <w:b/>
                <w:bCs/>
                <w:i/>
                <w:iCs/>
              </w:rPr>
              <w:t xml:space="preserve"> </w:t>
            </w:r>
            <w:r w:rsidRPr="00986120">
              <w:rPr>
                <w:b/>
                <w:bCs/>
                <w:i/>
                <w:iCs/>
              </w:rPr>
              <w:t>Effective January 1, 2022</w:t>
            </w:r>
          </w:p>
        </w:tc>
        <w:tc>
          <w:tcPr>
            <w:tcW w:w="2490" w:type="dxa"/>
            <w:shd w:val="clear" w:color="auto" w:fill="auto"/>
          </w:tcPr>
          <w:p w14:paraId="5A73349B" w14:textId="77777777" w:rsidR="0003391E" w:rsidRDefault="0003391E" w:rsidP="00647968">
            <w:pPr>
              <w:jc w:val="center"/>
              <w:rPr>
                <w:b/>
                <w:sz w:val="28"/>
                <w:szCs w:val="28"/>
              </w:rPr>
            </w:pPr>
            <w:r w:rsidRPr="00647968">
              <w:rPr>
                <w:b/>
                <w:sz w:val="28"/>
                <w:szCs w:val="28"/>
              </w:rPr>
              <w:t xml:space="preserve">NEUTRAL </w:t>
            </w:r>
          </w:p>
          <w:p w14:paraId="34DF6066" w14:textId="1D81ABDC" w:rsidR="0003391E" w:rsidRPr="009D2BFB" w:rsidRDefault="00BB2D94" w:rsidP="00BB2D94">
            <w:pPr>
              <w:jc w:val="center"/>
              <w:rPr>
                <w:b/>
                <w:sz w:val="28"/>
                <w:szCs w:val="28"/>
                <w:u w:val="single"/>
              </w:rPr>
            </w:pPr>
            <w:r>
              <w:rPr>
                <w:b/>
                <w:sz w:val="28"/>
                <w:szCs w:val="28"/>
              </w:rPr>
              <w:t>AS AMENDED</w:t>
            </w:r>
          </w:p>
        </w:tc>
        <w:tc>
          <w:tcPr>
            <w:tcW w:w="3353" w:type="dxa"/>
            <w:shd w:val="clear" w:color="auto" w:fill="auto"/>
          </w:tcPr>
          <w:p w14:paraId="7881EFC9" w14:textId="3A7A1456" w:rsidR="0003391E" w:rsidRDefault="00572DE5" w:rsidP="00F77001">
            <w:pPr>
              <w:jc w:val="center"/>
              <w:rPr>
                <w:rFonts w:cstheme="minorHAnsi"/>
                <w:b/>
              </w:rPr>
            </w:pPr>
            <w:r>
              <w:rPr>
                <w:rFonts w:cstheme="minorHAnsi"/>
                <w:b/>
              </w:rPr>
              <w:t>SENT TO GOVERNOR</w:t>
            </w:r>
          </w:p>
        </w:tc>
      </w:tr>
      <w:tr w:rsidR="0003391E" w:rsidRPr="008053E4" w14:paraId="48DA6AA4" w14:textId="77777777" w:rsidTr="0069444C">
        <w:tc>
          <w:tcPr>
            <w:tcW w:w="1861" w:type="dxa"/>
            <w:shd w:val="clear" w:color="auto" w:fill="auto"/>
          </w:tcPr>
          <w:p w14:paraId="3758B190" w14:textId="77777777" w:rsidR="0003391E" w:rsidRDefault="00AB3D6F" w:rsidP="00307DCA">
            <w:pPr>
              <w:jc w:val="center"/>
            </w:pPr>
            <w:hyperlink r:id="rId29" w:history="1">
              <w:r w:rsidR="0003391E">
                <w:rPr>
                  <w:rStyle w:val="Hyperlink"/>
                </w:rPr>
                <w:t>SB 147 (Murphy)</w:t>
              </w:r>
            </w:hyperlink>
            <w:r w:rsidR="0003391E">
              <w:rPr>
                <w:rStyle w:val="Hyperlink"/>
              </w:rPr>
              <w:t xml:space="preserve"> (Harper)</w:t>
            </w:r>
          </w:p>
          <w:p w14:paraId="5DFFC769" w14:textId="3F4522A9" w:rsidR="0003391E" w:rsidRDefault="0003391E" w:rsidP="00F77001">
            <w:pPr>
              <w:jc w:val="center"/>
            </w:pPr>
          </w:p>
        </w:tc>
        <w:tc>
          <w:tcPr>
            <w:tcW w:w="6781" w:type="dxa"/>
            <w:shd w:val="clear" w:color="auto" w:fill="auto"/>
          </w:tcPr>
          <w:p w14:paraId="0EFC9294" w14:textId="424D8000" w:rsidR="0003391E" w:rsidRPr="00BB2D94" w:rsidRDefault="0003391E" w:rsidP="00307DCA">
            <w:pPr>
              <w:rPr>
                <w:rFonts w:cstheme="minorHAnsi"/>
                <w:bCs/>
                <w:color w:val="000000"/>
                <w:shd w:val="clear" w:color="auto" w:fill="FFFFFF"/>
              </w:rPr>
            </w:pPr>
            <w:r w:rsidRPr="00BB2D94">
              <w:rPr>
                <w:rFonts w:cstheme="minorHAnsi"/>
                <w:bCs/>
                <w:color w:val="000000"/>
                <w:shd w:val="clear" w:color="auto" w:fill="FFFFFF"/>
              </w:rPr>
              <w:t>As amended</w:t>
            </w:r>
            <w:r w:rsidR="00BB2D94" w:rsidRPr="00BB2D94">
              <w:rPr>
                <w:rFonts w:cstheme="minorHAnsi"/>
                <w:bCs/>
                <w:color w:val="000000"/>
                <w:shd w:val="clear" w:color="auto" w:fill="FFFFFF"/>
              </w:rPr>
              <w:t xml:space="preserve">, </w:t>
            </w:r>
            <w:r w:rsidRPr="00BB2D94">
              <w:rPr>
                <w:rFonts w:cstheme="minorHAnsi"/>
                <w:bCs/>
                <w:color w:val="000000"/>
                <w:shd w:val="clear" w:color="auto" w:fill="FFFFFF"/>
              </w:rPr>
              <w:t xml:space="preserve">provides  for an annual open enrollment of 45 days for those individuals age 65 and older, but no more than 75 years of age who currently have a Medicare supplement policy; 2.  Allow eligible </w:t>
            </w:r>
            <w:r w:rsidRPr="00BB2D94">
              <w:rPr>
                <w:rFonts w:cstheme="minorHAnsi"/>
                <w:bCs/>
                <w:color w:val="000000"/>
                <w:shd w:val="clear" w:color="auto" w:fill="FFFFFF"/>
              </w:rPr>
              <w:lastRenderedPageBreak/>
              <w:t xml:space="preserve">applicants to enroll in a plan of equal or less benefits with the same issuer without medical underwriting; and 3. Require issuers to incorporate the annual enrollment open enrollment provision for eligible Medicare Supplement policyholders into the buyer’s guide (which is subject to the Director’s approval.) </w:t>
            </w:r>
          </w:p>
          <w:p w14:paraId="3891DED0" w14:textId="0A8FF942" w:rsidR="0003391E" w:rsidRPr="00FF2404" w:rsidRDefault="0003391E" w:rsidP="00F77001">
            <w:pPr>
              <w:rPr>
                <w:rFonts w:cstheme="minorHAnsi"/>
                <w:color w:val="000000"/>
                <w:shd w:val="clear" w:color="auto" w:fill="FFFFFF"/>
              </w:rPr>
            </w:pPr>
            <w:r w:rsidRPr="00E06900">
              <w:rPr>
                <w:rStyle w:val="HTMLCode"/>
                <w:rFonts w:asciiTheme="minorHAnsi" w:eastAsiaTheme="minorHAnsi" w:hAnsiTheme="minorHAnsi" w:cstheme="minorHAnsi"/>
                <w:b/>
                <w:bCs/>
                <w:i/>
                <w:iCs/>
                <w:color w:val="000000"/>
                <w:sz w:val="22"/>
                <w:szCs w:val="22"/>
                <w:shd w:val="clear" w:color="auto" w:fill="FFFFFF"/>
              </w:rPr>
              <w:t>Effective January 1, 2022</w:t>
            </w:r>
          </w:p>
        </w:tc>
        <w:tc>
          <w:tcPr>
            <w:tcW w:w="2490" w:type="dxa"/>
            <w:shd w:val="clear" w:color="auto" w:fill="auto"/>
          </w:tcPr>
          <w:p w14:paraId="6DC21C55" w14:textId="77777777" w:rsidR="0003391E" w:rsidRPr="00BB2D94" w:rsidRDefault="00BB2D94" w:rsidP="00BB2D94">
            <w:pPr>
              <w:jc w:val="center"/>
              <w:rPr>
                <w:b/>
                <w:sz w:val="28"/>
                <w:szCs w:val="28"/>
              </w:rPr>
            </w:pPr>
            <w:r w:rsidRPr="00BB2D94">
              <w:rPr>
                <w:b/>
                <w:sz w:val="28"/>
                <w:szCs w:val="28"/>
              </w:rPr>
              <w:lastRenderedPageBreak/>
              <w:t>NEUTRAL</w:t>
            </w:r>
          </w:p>
          <w:p w14:paraId="4F1D98F8" w14:textId="599D9605" w:rsidR="00BB2D94" w:rsidRPr="00BB2D94" w:rsidRDefault="00BB2D94" w:rsidP="00BB2D94">
            <w:pPr>
              <w:jc w:val="center"/>
              <w:rPr>
                <w:b/>
                <w:strike/>
                <w:sz w:val="28"/>
                <w:szCs w:val="28"/>
              </w:rPr>
            </w:pPr>
            <w:r w:rsidRPr="00BB2D94">
              <w:rPr>
                <w:b/>
                <w:sz w:val="28"/>
                <w:szCs w:val="28"/>
              </w:rPr>
              <w:t>AS AMENDED</w:t>
            </w:r>
          </w:p>
        </w:tc>
        <w:tc>
          <w:tcPr>
            <w:tcW w:w="3353" w:type="dxa"/>
            <w:shd w:val="clear" w:color="auto" w:fill="auto"/>
          </w:tcPr>
          <w:p w14:paraId="3D823FE8" w14:textId="5172C249" w:rsidR="0003391E" w:rsidRDefault="00C13677" w:rsidP="00F77001">
            <w:pPr>
              <w:jc w:val="center"/>
              <w:rPr>
                <w:rFonts w:cstheme="minorHAnsi"/>
                <w:b/>
              </w:rPr>
            </w:pPr>
            <w:r>
              <w:rPr>
                <w:rFonts w:cstheme="minorHAnsi"/>
                <w:b/>
              </w:rPr>
              <w:t>SENT TO GOVERNOR</w:t>
            </w:r>
          </w:p>
        </w:tc>
      </w:tr>
      <w:tr w:rsidR="0003391E" w:rsidRPr="008053E4" w14:paraId="6212896B" w14:textId="77777777" w:rsidTr="0069444C">
        <w:tc>
          <w:tcPr>
            <w:tcW w:w="1861" w:type="dxa"/>
            <w:shd w:val="clear" w:color="auto" w:fill="auto"/>
          </w:tcPr>
          <w:p w14:paraId="3AD3532D" w14:textId="4349E6FA" w:rsidR="0003391E" w:rsidRDefault="00AB3D6F" w:rsidP="00F77001">
            <w:pPr>
              <w:jc w:val="center"/>
            </w:pPr>
            <w:hyperlink r:id="rId30" w:history="1">
              <w:r w:rsidR="0003391E">
                <w:rPr>
                  <w:rStyle w:val="Hyperlink"/>
                </w:rPr>
                <w:t>SB 332 (Collins)</w:t>
              </w:r>
            </w:hyperlink>
            <w:r w:rsidR="0003391E">
              <w:rPr>
                <w:rStyle w:val="Hyperlink"/>
              </w:rPr>
              <w:t xml:space="preserve"> (Avelar)</w:t>
            </w:r>
          </w:p>
        </w:tc>
        <w:tc>
          <w:tcPr>
            <w:tcW w:w="6781" w:type="dxa"/>
            <w:shd w:val="clear" w:color="auto" w:fill="auto"/>
          </w:tcPr>
          <w:p w14:paraId="1EB257D0" w14:textId="470B9C32" w:rsidR="0003391E" w:rsidRPr="00BB2D94" w:rsidRDefault="0003391E" w:rsidP="00CE0C93">
            <w:pPr>
              <w:rPr>
                <w:rFonts w:cstheme="minorHAnsi"/>
                <w:color w:val="000000"/>
              </w:rPr>
            </w:pPr>
            <w:r w:rsidRPr="00BB2D94">
              <w:rPr>
                <w:rFonts w:cstheme="minorHAnsi"/>
                <w:color w:val="000000"/>
              </w:rPr>
              <w:t>As amended</w:t>
            </w:r>
            <w:r w:rsidR="00BB2D94" w:rsidRPr="00BB2D94">
              <w:rPr>
                <w:rFonts w:cstheme="minorHAnsi"/>
                <w:color w:val="000000"/>
              </w:rPr>
              <w:t>,</w:t>
            </w:r>
            <w:r w:rsidR="00BB2D94" w:rsidRPr="003E55CC">
              <w:rPr>
                <w:rFonts w:cstheme="minorHAnsi"/>
                <w:color w:val="000000"/>
              </w:rPr>
              <w:t xml:space="preserve"> </w:t>
            </w:r>
            <w:r w:rsidR="003E55CC" w:rsidRPr="003E55CC">
              <w:rPr>
                <w:rFonts w:cstheme="minorHAnsi"/>
                <w:color w:val="000000"/>
              </w:rPr>
              <w:t>m</w:t>
            </w:r>
            <w:r w:rsidR="00BB2D94" w:rsidRPr="003E55CC">
              <w:rPr>
                <w:rFonts w:cstheme="minorHAnsi"/>
                <w:color w:val="000000"/>
              </w:rPr>
              <w:t>andates</w:t>
            </w:r>
            <w:r w:rsidR="00BB2D94" w:rsidRPr="00BB2D94">
              <w:rPr>
                <w:rFonts w:cstheme="minorHAnsi"/>
                <w:color w:val="000000"/>
              </w:rPr>
              <w:t xml:space="preserve"> insurers to</w:t>
            </w:r>
            <w:r w:rsidRPr="00BB2D94">
              <w:rPr>
                <w:rFonts w:cstheme="minorHAnsi"/>
                <w:color w:val="000000"/>
              </w:rPr>
              <w:t xml:space="preserve"> make available through an electronic provider directory or in print, provides that information concerning use of telehealth or telemedicine includes, but is not limited to, whether the provider offers the use of telehealth or telemedicine to deliver services to patients for whom it would be clinically appropriate (rather than whether the provider offers the use of telehealth or telemedicine to deliver services) and what modalities are used and what types of services may be provided via telehealth or telemedicine (rather than what modalities are used and what services via telehealth or telemedicine are provided). In provisions requiring providers to notify the network plan of changes to their information listed in the provider directory, includes the information concerning use of telehealth or telemedicine. </w:t>
            </w:r>
          </w:p>
          <w:p w14:paraId="582AB9F1" w14:textId="3ADF794A" w:rsidR="0003391E" w:rsidRPr="00C04A94" w:rsidRDefault="0003391E" w:rsidP="00F77001">
            <w:pPr>
              <w:rPr>
                <w:rFonts w:cstheme="minorHAnsi"/>
                <w:color w:val="000000"/>
                <w:shd w:val="clear" w:color="auto" w:fill="FFFFFF"/>
              </w:rPr>
            </w:pPr>
            <w:r w:rsidRPr="0083094E">
              <w:rPr>
                <w:rFonts w:cstheme="minorHAnsi"/>
                <w:b/>
                <w:bCs/>
                <w:i/>
                <w:iCs/>
                <w:color w:val="000000"/>
              </w:rPr>
              <w:t>Effective immediately</w:t>
            </w:r>
          </w:p>
        </w:tc>
        <w:tc>
          <w:tcPr>
            <w:tcW w:w="2490" w:type="dxa"/>
            <w:shd w:val="clear" w:color="auto" w:fill="auto"/>
          </w:tcPr>
          <w:p w14:paraId="3B3667FA" w14:textId="77777777" w:rsidR="0003391E" w:rsidRPr="00BB2D94" w:rsidRDefault="00BB2D94" w:rsidP="00BB2D94">
            <w:pPr>
              <w:jc w:val="center"/>
              <w:rPr>
                <w:b/>
                <w:sz w:val="28"/>
                <w:szCs w:val="28"/>
              </w:rPr>
            </w:pPr>
            <w:r w:rsidRPr="00BB2D94">
              <w:rPr>
                <w:b/>
                <w:sz w:val="28"/>
                <w:szCs w:val="28"/>
              </w:rPr>
              <w:t xml:space="preserve">NEUTRAL </w:t>
            </w:r>
          </w:p>
          <w:p w14:paraId="7A2C2F29" w14:textId="5A4A2987" w:rsidR="00BB2D94" w:rsidRDefault="00BB2D94" w:rsidP="00BB2D94">
            <w:pPr>
              <w:jc w:val="center"/>
              <w:rPr>
                <w:b/>
                <w:sz w:val="28"/>
                <w:szCs w:val="28"/>
              </w:rPr>
            </w:pPr>
            <w:r w:rsidRPr="00BB2D94">
              <w:rPr>
                <w:b/>
                <w:sz w:val="28"/>
                <w:szCs w:val="28"/>
              </w:rPr>
              <w:t>AS AMENDED</w:t>
            </w:r>
          </w:p>
        </w:tc>
        <w:tc>
          <w:tcPr>
            <w:tcW w:w="3353" w:type="dxa"/>
            <w:shd w:val="clear" w:color="auto" w:fill="auto"/>
          </w:tcPr>
          <w:p w14:paraId="0C1A2538" w14:textId="66F2395D" w:rsidR="0003391E" w:rsidRDefault="00C13677" w:rsidP="00A61E0D">
            <w:pPr>
              <w:jc w:val="center"/>
              <w:rPr>
                <w:rFonts w:cstheme="minorHAnsi"/>
                <w:b/>
              </w:rPr>
            </w:pPr>
            <w:r>
              <w:rPr>
                <w:rFonts w:cstheme="minorHAnsi"/>
                <w:b/>
              </w:rPr>
              <w:t>SENT TO GOVERNOR</w:t>
            </w:r>
          </w:p>
        </w:tc>
      </w:tr>
      <w:tr w:rsidR="0003391E" w:rsidRPr="008053E4" w14:paraId="1CCA007E" w14:textId="77777777" w:rsidTr="0069444C">
        <w:tc>
          <w:tcPr>
            <w:tcW w:w="1861" w:type="dxa"/>
            <w:shd w:val="clear" w:color="auto" w:fill="auto"/>
          </w:tcPr>
          <w:p w14:paraId="021AEBAE" w14:textId="77777777" w:rsidR="0003391E" w:rsidRDefault="00AB3D6F" w:rsidP="00307DCA">
            <w:pPr>
              <w:jc w:val="center"/>
              <w:rPr>
                <w:rStyle w:val="Hyperlink"/>
                <w:color w:val="2F5496" w:themeColor="accent1" w:themeShade="BF"/>
              </w:rPr>
            </w:pPr>
            <w:hyperlink r:id="rId31" w:history="1">
              <w:r w:rsidR="0003391E" w:rsidRPr="000B0C97">
                <w:rPr>
                  <w:rStyle w:val="Hyperlink"/>
                  <w:color w:val="2F5496" w:themeColor="accent1" w:themeShade="BF"/>
                </w:rPr>
                <w:t>SB 471 (Fine)</w:t>
              </w:r>
            </w:hyperlink>
          </w:p>
          <w:p w14:paraId="1BB3C211" w14:textId="5DD03545" w:rsidR="0003391E" w:rsidRDefault="0003391E" w:rsidP="00F77001">
            <w:pPr>
              <w:jc w:val="center"/>
            </w:pPr>
            <w:r>
              <w:rPr>
                <w:color w:val="2F5496" w:themeColor="accent1" w:themeShade="BF"/>
              </w:rPr>
              <w:t>(LaPointe)</w:t>
            </w:r>
          </w:p>
        </w:tc>
        <w:tc>
          <w:tcPr>
            <w:tcW w:w="6781" w:type="dxa"/>
            <w:shd w:val="clear" w:color="auto" w:fill="auto"/>
          </w:tcPr>
          <w:p w14:paraId="5A28D00E" w14:textId="75816B98" w:rsidR="0003391E" w:rsidRDefault="0003391E" w:rsidP="00BB2D94">
            <w:pPr>
              <w:rPr>
                <w:rStyle w:val="HTMLCode"/>
                <w:rFonts w:eastAsiaTheme="minorHAnsi"/>
                <w:color w:val="000000"/>
                <w:shd w:val="clear" w:color="auto" w:fill="FFFFFF"/>
              </w:rPr>
            </w:pPr>
            <w:r w:rsidRPr="00BB2D94">
              <w:rPr>
                <w:rFonts w:cstheme="minorHAnsi"/>
                <w:color w:val="000000"/>
              </w:rPr>
              <w:t>As amended</w:t>
            </w:r>
            <w:r w:rsidR="00BB2D94" w:rsidRPr="00BB2D94">
              <w:rPr>
                <w:rFonts w:cstheme="minorHAnsi"/>
                <w:color w:val="000000"/>
              </w:rPr>
              <w:t>,</w:t>
            </w:r>
            <w:r w:rsidR="00BB2D94" w:rsidRPr="00BB2D94">
              <w:rPr>
                <w:rFonts w:ascii="Arial" w:hAnsi="Arial" w:cs="Arial"/>
                <w:color w:val="000000"/>
                <w:sz w:val="18"/>
                <w:szCs w:val="18"/>
              </w:rPr>
              <w:t xml:space="preserve"> </w:t>
            </w:r>
            <w:r w:rsidRPr="00BB2D94">
              <w:t>s</w:t>
            </w:r>
            <w:r w:rsidRPr="00BB2D94">
              <w:rPr>
                <w:rFonts w:cstheme="minorHAnsi"/>
                <w:color w:val="000000"/>
              </w:rPr>
              <w:t>ets forth provisions concerning timely and proximate access to treatment for</w:t>
            </w:r>
            <w:r w:rsidR="00BB2D94" w:rsidRPr="00BB2D94">
              <w:rPr>
                <w:rFonts w:cstheme="minorHAnsi"/>
                <w:color w:val="000000"/>
              </w:rPr>
              <w:t xml:space="preserve"> MH/SUD.</w:t>
            </w:r>
            <w:r w:rsidRPr="00BB2D94">
              <w:rPr>
                <w:rFonts w:cstheme="minorHAnsi"/>
                <w:color w:val="000000"/>
              </w:rPr>
              <w:t xml:space="preserve"> Provides that network adequacy standards for timely and proximate access to treatment for </w:t>
            </w:r>
            <w:r w:rsidR="00BB2D94" w:rsidRPr="00BB2D94">
              <w:rPr>
                <w:rFonts w:cstheme="minorHAnsi"/>
                <w:color w:val="000000"/>
              </w:rPr>
              <w:t xml:space="preserve">MH/SUD </w:t>
            </w:r>
            <w:r w:rsidRPr="00BB2D94">
              <w:rPr>
                <w:rFonts w:cstheme="minorHAnsi"/>
                <w:color w:val="000000"/>
              </w:rPr>
              <w:t xml:space="preserve">must satisfy specified minimum requirements. Provides that if there is no in-network facility or provider available for an insured to receive timely and proximate access to treatment for </w:t>
            </w:r>
            <w:r w:rsidR="00BB2D94" w:rsidRPr="00BB2D94">
              <w:rPr>
                <w:rFonts w:cstheme="minorHAnsi"/>
                <w:color w:val="000000"/>
              </w:rPr>
              <w:t xml:space="preserve">MH/SUD </w:t>
            </w:r>
            <w:r w:rsidRPr="00BB2D94">
              <w:rPr>
                <w:rFonts w:cstheme="minorHAnsi"/>
                <w:color w:val="000000"/>
              </w:rPr>
              <w:t>in accordance with the minimum network adequacy standards, the insurer shall provide necessary exceptions to its network to ensure admission and treatment with a provider or at a treatment facility in accordance with those network adequacy standards.</w:t>
            </w:r>
            <w:r w:rsidRPr="00EA4887">
              <w:rPr>
                <w:rFonts w:cstheme="minorHAnsi"/>
                <w:i/>
                <w:iCs/>
                <w:color w:val="000000"/>
              </w:rPr>
              <w:t xml:space="preserve"> </w:t>
            </w:r>
            <w:r w:rsidRPr="0083094E">
              <w:rPr>
                <w:rFonts w:cstheme="minorHAnsi"/>
                <w:b/>
                <w:bCs/>
                <w:i/>
                <w:iCs/>
                <w:color w:val="000000"/>
              </w:rPr>
              <w:t>Effective immediately</w:t>
            </w:r>
          </w:p>
        </w:tc>
        <w:tc>
          <w:tcPr>
            <w:tcW w:w="2490" w:type="dxa"/>
            <w:shd w:val="clear" w:color="auto" w:fill="auto"/>
          </w:tcPr>
          <w:p w14:paraId="101D64B1" w14:textId="77777777" w:rsidR="0003391E" w:rsidRPr="00BB2D94" w:rsidRDefault="00BB2D94" w:rsidP="00BB2D94">
            <w:pPr>
              <w:jc w:val="center"/>
              <w:rPr>
                <w:b/>
                <w:sz w:val="28"/>
                <w:szCs w:val="28"/>
              </w:rPr>
            </w:pPr>
            <w:r w:rsidRPr="00BB2D94">
              <w:rPr>
                <w:b/>
                <w:sz w:val="28"/>
                <w:szCs w:val="28"/>
              </w:rPr>
              <w:t>NEUTRAL</w:t>
            </w:r>
          </w:p>
          <w:p w14:paraId="6AC286AB" w14:textId="47AEF829" w:rsidR="00BB2D94" w:rsidRDefault="00BB2D94" w:rsidP="00BB2D94">
            <w:pPr>
              <w:jc w:val="center"/>
              <w:rPr>
                <w:b/>
                <w:sz w:val="28"/>
                <w:szCs w:val="28"/>
              </w:rPr>
            </w:pPr>
            <w:r w:rsidRPr="00BB2D94">
              <w:rPr>
                <w:b/>
                <w:sz w:val="28"/>
                <w:szCs w:val="28"/>
              </w:rPr>
              <w:t>AS AMENDED</w:t>
            </w:r>
          </w:p>
        </w:tc>
        <w:tc>
          <w:tcPr>
            <w:tcW w:w="3353" w:type="dxa"/>
            <w:shd w:val="clear" w:color="auto" w:fill="auto"/>
          </w:tcPr>
          <w:p w14:paraId="43B5494E" w14:textId="22631377" w:rsidR="0003391E" w:rsidRDefault="00C13677" w:rsidP="00A61E0D">
            <w:pPr>
              <w:jc w:val="center"/>
              <w:rPr>
                <w:rFonts w:cstheme="minorHAnsi"/>
                <w:b/>
              </w:rPr>
            </w:pPr>
            <w:r>
              <w:rPr>
                <w:rFonts w:cstheme="minorHAnsi"/>
                <w:b/>
              </w:rPr>
              <w:t>SENT TO GOVERNOR</w:t>
            </w:r>
          </w:p>
        </w:tc>
      </w:tr>
      <w:tr w:rsidR="0003391E" w:rsidRPr="008053E4" w14:paraId="7096FAB6" w14:textId="77777777" w:rsidTr="0069444C">
        <w:tc>
          <w:tcPr>
            <w:tcW w:w="1861" w:type="dxa"/>
            <w:shd w:val="clear" w:color="auto" w:fill="auto"/>
          </w:tcPr>
          <w:p w14:paraId="2FFEDC93" w14:textId="77777777" w:rsidR="0003391E" w:rsidRDefault="00AB3D6F" w:rsidP="00307DCA">
            <w:pPr>
              <w:jc w:val="center"/>
              <w:rPr>
                <w:rStyle w:val="Hyperlink"/>
              </w:rPr>
            </w:pPr>
            <w:hyperlink r:id="rId32" w:history="1">
              <w:r w:rsidR="0003391E">
                <w:rPr>
                  <w:rStyle w:val="Hyperlink"/>
                </w:rPr>
                <w:t>SB 493 (</w:t>
              </w:r>
              <w:proofErr w:type="spellStart"/>
              <w:r w:rsidR="0003391E">
                <w:rPr>
                  <w:rStyle w:val="Hyperlink"/>
                </w:rPr>
                <w:t>Syverson</w:t>
              </w:r>
              <w:proofErr w:type="spellEnd"/>
              <w:r w:rsidR="0003391E">
                <w:rPr>
                  <w:rStyle w:val="Hyperlink"/>
                </w:rPr>
                <w:t>)</w:t>
              </w:r>
            </w:hyperlink>
          </w:p>
          <w:p w14:paraId="07568704" w14:textId="5F60B5DD" w:rsidR="0003391E" w:rsidRPr="007C3595" w:rsidRDefault="0003391E" w:rsidP="00F77001">
            <w:pPr>
              <w:jc w:val="center"/>
            </w:pPr>
            <w:r>
              <w:rPr>
                <w:rStyle w:val="Hyperlink"/>
              </w:rPr>
              <w:t>(</w:t>
            </w:r>
            <w:proofErr w:type="spellStart"/>
            <w:r>
              <w:rPr>
                <w:rStyle w:val="Hyperlink"/>
              </w:rPr>
              <w:t>Hirschauer</w:t>
            </w:r>
            <w:proofErr w:type="spellEnd"/>
            <w:r>
              <w:rPr>
                <w:rStyle w:val="Hyperlink"/>
              </w:rPr>
              <w:t>)</w:t>
            </w:r>
          </w:p>
        </w:tc>
        <w:tc>
          <w:tcPr>
            <w:tcW w:w="6781" w:type="dxa"/>
            <w:shd w:val="clear" w:color="auto" w:fill="auto"/>
          </w:tcPr>
          <w:p w14:paraId="21CD6AAB" w14:textId="77777777" w:rsidR="0003391E" w:rsidRDefault="0003391E" w:rsidP="005B04D1">
            <w:pPr>
              <w:rPr>
                <w:rStyle w:val="HTMLCode"/>
                <w:rFonts w:asciiTheme="minorHAnsi" w:eastAsiaTheme="minorHAnsi" w:hAnsiTheme="minorHAnsi" w:cstheme="minorHAnsi"/>
                <w:color w:val="000000"/>
                <w:sz w:val="22"/>
                <w:szCs w:val="22"/>
                <w:shd w:val="clear" w:color="auto" w:fill="FFFFFF"/>
              </w:rPr>
            </w:pPr>
            <w:r w:rsidRPr="00353E48">
              <w:rPr>
                <w:rStyle w:val="HTMLCode"/>
                <w:rFonts w:asciiTheme="minorHAnsi" w:eastAsiaTheme="minorHAnsi" w:hAnsiTheme="minorHAnsi" w:cstheme="minorHAnsi"/>
                <w:color w:val="000000"/>
                <w:sz w:val="22"/>
                <w:szCs w:val="22"/>
                <w:shd w:val="clear" w:color="auto" w:fill="FFFFFF"/>
              </w:rPr>
              <w:t xml:space="preserve">Creates the Uniform Electronic Transactions in Dental Care Billing Act. Requires all dental plan carriers and dental care providers to exchange claims and eligibility information electronically using the standard electronic data interchange transactions for claims submissions, payments, and verification of benefits required under </w:t>
            </w:r>
            <w:r w:rsidRPr="00353E48">
              <w:rPr>
                <w:rStyle w:val="HTMLCode"/>
                <w:rFonts w:asciiTheme="minorHAnsi" w:eastAsiaTheme="minorHAnsi" w:hAnsiTheme="minorHAnsi" w:cstheme="minorHAnsi"/>
                <w:color w:val="000000"/>
                <w:sz w:val="22"/>
                <w:szCs w:val="22"/>
                <w:shd w:val="clear" w:color="auto" w:fill="FFFFFF"/>
              </w:rPr>
              <w:lastRenderedPageBreak/>
              <w:t xml:space="preserve">the Health Insurance Portability and Accountability Act </w:t>
            </w:r>
            <w:proofErr w:type="gramStart"/>
            <w:r w:rsidRPr="00353E48">
              <w:rPr>
                <w:rStyle w:val="HTMLCode"/>
                <w:rFonts w:asciiTheme="minorHAnsi" w:eastAsiaTheme="minorHAnsi" w:hAnsiTheme="minorHAnsi" w:cstheme="minorHAnsi"/>
                <w:color w:val="000000"/>
                <w:sz w:val="22"/>
                <w:szCs w:val="22"/>
                <w:shd w:val="clear" w:color="auto" w:fill="FFFFFF"/>
              </w:rPr>
              <w:t>in order to</w:t>
            </w:r>
            <w:proofErr w:type="gramEnd"/>
            <w:r w:rsidRPr="00353E48">
              <w:rPr>
                <w:rStyle w:val="HTMLCode"/>
                <w:rFonts w:asciiTheme="minorHAnsi" w:eastAsiaTheme="minorHAnsi" w:hAnsiTheme="minorHAnsi" w:cstheme="minorHAnsi"/>
                <w:color w:val="000000"/>
                <w:sz w:val="22"/>
                <w:szCs w:val="22"/>
                <w:shd w:val="clear" w:color="auto" w:fill="FFFFFF"/>
              </w:rPr>
              <w:t xml:space="preserve"> be compensable by the dental plan carrier. </w:t>
            </w:r>
          </w:p>
          <w:p w14:paraId="1D864EDD" w14:textId="6081EE8C" w:rsidR="0003391E" w:rsidRPr="0046199A" w:rsidRDefault="0003391E" w:rsidP="0046199A">
            <w:pPr>
              <w:rPr>
                <w:rStyle w:val="HTMLCode"/>
                <w:rFonts w:asciiTheme="minorHAnsi" w:eastAsiaTheme="minorHAnsi" w:hAnsiTheme="minorHAnsi"/>
                <w:b/>
                <w:bCs/>
                <w:i/>
                <w:iCs/>
                <w:color w:val="000000"/>
                <w:sz w:val="22"/>
                <w:szCs w:val="22"/>
                <w:shd w:val="clear" w:color="auto" w:fill="FFFFFF"/>
              </w:rPr>
            </w:pPr>
            <w:r w:rsidRPr="0046199A">
              <w:rPr>
                <w:rStyle w:val="HTMLCode"/>
                <w:rFonts w:asciiTheme="minorHAnsi" w:eastAsiaTheme="minorHAnsi" w:hAnsiTheme="minorHAnsi" w:cstheme="minorHAnsi"/>
                <w:b/>
                <w:bCs/>
                <w:i/>
                <w:iCs/>
                <w:color w:val="000000"/>
                <w:sz w:val="22"/>
                <w:szCs w:val="22"/>
                <w:shd w:val="clear" w:color="auto" w:fill="FFFFFF"/>
              </w:rPr>
              <w:t>Effective Immediately</w:t>
            </w:r>
          </w:p>
        </w:tc>
        <w:tc>
          <w:tcPr>
            <w:tcW w:w="2490" w:type="dxa"/>
            <w:shd w:val="clear" w:color="auto" w:fill="auto"/>
          </w:tcPr>
          <w:p w14:paraId="448C46C8" w14:textId="73A9552F" w:rsidR="0003391E" w:rsidRPr="007C3595" w:rsidRDefault="0003391E" w:rsidP="00C04A94">
            <w:pPr>
              <w:jc w:val="center"/>
              <w:rPr>
                <w:b/>
                <w:sz w:val="28"/>
                <w:szCs w:val="28"/>
              </w:rPr>
            </w:pPr>
            <w:r>
              <w:rPr>
                <w:b/>
                <w:sz w:val="28"/>
                <w:szCs w:val="28"/>
              </w:rPr>
              <w:lastRenderedPageBreak/>
              <w:t>MONITOR</w:t>
            </w:r>
          </w:p>
        </w:tc>
        <w:tc>
          <w:tcPr>
            <w:tcW w:w="3353" w:type="dxa"/>
            <w:shd w:val="clear" w:color="auto" w:fill="auto"/>
          </w:tcPr>
          <w:p w14:paraId="54843FF8" w14:textId="5076B675" w:rsidR="0003391E" w:rsidRDefault="00C13677" w:rsidP="00437D4D">
            <w:pPr>
              <w:jc w:val="center"/>
              <w:rPr>
                <w:rFonts w:cstheme="minorHAnsi"/>
                <w:b/>
              </w:rPr>
            </w:pPr>
            <w:r>
              <w:rPr>
                <w:rFonts w:cstheme="minorHAnsi"/>
                <w:b/>
              </w:rPr>
              <w:t>SENT TO GOVERNOR</w:t>
            </w:r>
          </w:p>
        </w:tc>
      </w:tr>
      <w:tr w:rsidR="0003391E" w:rsidRPr="008053E4" w14:paraId="37D5D460" w14:textId="77777777" w:rsidTr="0069444C">
        <w:tc>
          <w:tcPr>
            <w:tcW w:w="1861" w:type="dxa"/>
            <w:shd w:val="clear" w:color="auto" w:fill="auto"/>
          </w:tcPr>
          <w:p w14:paraId="1B20C807" w14:textId="77777777" w:rsidR="0003391E" w:rsidRDefault="00AB3D6F" w:rsidP="00307DCA">
            <w:pPr>
              <w:jc w:val="center"/>
              <w:rPr>
                <w:rStyle w:val="Hyperlink"/>
              </w:rPr>
            </w:pPr>
            <w:hyperlink r:id="rId33" w:history="1">
              <w:r w:rsidR="0003391E">
                <w:rPr>
                  <w:rStyle w:val="Hyperlink"/>
                </w:rPr>
                <w:t>SB 499 (</w:t>
              </w:r>
              <w:proofErr w:type="spellStart"/>
              <w:r w:rsidR="0003391E">
                <w:rPr>
                  <w:rStyle w:val="Hyperlink"/>
                </w:rPr>
                <w:t>Barickman</w:t>
              </w:r>
              <w:proofErr w:type="spellEnd"/>
              <w:r w:rsidR="0003391E">
                <w:rPr>
                  <w:rStyle w:val="Hyperlink"/>
                </w:rPr>
                <w:t>)</w:t>
              </w:r>
            </w:hyperlink>
          </w:p>
          <w:p w14:paraId="53A68816" w14:textId="77777777" w:rsidR="0003391E" w:rsidRDefault="0003391E" w:rsidP="00307DCA">
            <w:pPr>
              <w:jc w:val="center"/>
              <w:rPr>
                <w:rStyle w:val="Hyperlink"/>
              </w:rPr>
            </w:pPr>
            <w:r>
              <w:rPr>
                <w:rStyle w:val="Hyperlink"/>
              </w:rPr>
              <w:t>(</w:t>
            </w:r>
            <w:proofErr w:type="spellStart"/>
            <w:r>
              <w:rPr>
                <w:rStyle w:val="Hyperlink"/>
              </w:rPr>
              <w:t>Yednock</w:t>
            </w:r>
            <w:proofErr w:type="spellEnd"/>
            <w:r>
              <w:rPr>
                <w:rStyle w:val="Hyperlink"/>
              </w:rPr>
              <w:t>)</w:t>
            </w:r>
          </w:p>
          <w:p w14:paraId="2CFE0FE7" w14:textId="1EFAEB47" w:rsidR="0003391E" w:rsidRDefault="0003391E" w:rsidP="00F77001">
            <w:pPr>
              <w:jc w:val="center"/>
            </w:pPr>
          </w:p>
        </w:tc>
        <w:tc>
          <w:tcPr>
            <w:tcW w:w="6781" w:type="dxa"/>
            <w:shd w:val="clear" w:color="auto" w:fill="auto"/>
          </w:tcPr>
          <w:p w14:paraId="70BBF300" w14:textId="16277E79" w:rsidR="0003391E" w:rsidRDefault="0003391E" w:rsidP="00307DCA">
            <w:pPr>
              <w:rPr>
                <w:rFonts w:cstheme="minorHAnsi"/>
                <w:color w:val="000000"/>
                <w:shd w:val="clear" w:color="auto" w:fill="FFFFFF"/>
              </w:rPr>
            </w:pPr>
            <w:r>
              <w:rPr>
                <w:rStyle w:val="HTMLCode"/>
                <w:rFonts w:asciiTheme="minorHAnsi" w:eastAsiaTheme="minorHAnsi" w:hAnsiTheme="minorHAnsi" w:cstheme="minorHAnsi"/>
                <w:color w:val="000000"/>
                <w:sz w:val="22"/>
                <w:szCs w:val="22"/>
                <w:shd w:val="clear" w:color="auto" w:fill="FFFFFF"/>
              </w:rPr>
              <w:t xml:space="preserve">Adds existing optional coverage requirements regarding coverage for reasonable and necessary medical treatment of </w:t>
            </w:r>
            <w:r w:rsidRPr="00FB5221">
              <w:rPr>
                <w:rFonts w:cstheme="minorHAnsi"/>
                <w:color w:val="000000"/>
                <w:shd w:val="clear" w:color="auto" w:fill="FFFFFF"/>
              </w:rPr>
              <w:t>temporomandibular joint disorder</w:t>
            </w:r>
            <w:r w:rsidR="005E2033">
              <w:rPr>
                <w:rFonts w:cstheme="minorHAnsi"/>
                <w:color w:val="000000"/>
                <w:shd w:val="clear" w:color="auto" w:fill="FFFFFF"/>
              </w:rPr>
              <w:t xml:space="preserve"> (TMJ)</w:t>
            </w:r>
            <w:r w:rsidRPr="00FB5221">
              <w:rPr>
                <w:rFonts w:cstheme="minorHAnsi"/>
                <w:color w:val="000000"/>
                <w:shd w:val="clear" w:color="auto" w:fill="FFFFFF"/>
              </w:rPr>
              <w:t xml:space="preserve"> and craniomandibular disorder</w:t>
            </w:r>
            <w:r>
              <w:rPr>
                <w:rFonts w:cstheme="minorHAnsi"/>
                <w:color w:val="000000"/>
                <w:shd w:val="clear" w:color="auto" w:fill="FFFFFF"/>
              </w:rPr>
              <w:t>, for an additional premium and subject to the insurer’s standard of insurability, t</w:t>
            </w:r>
            <w:r>
              <w:t>o the State Employees Group Insurance; County, Municipality, and School Insurance requirements, and HMOs (as well as LHSOs, Voluntary Health Services, and Medicaid).</w:t>
            </w:r>
            <w:r w:rsidRPr="00FB5221">
              <w:rPr>
                <w:rFonts w:cstheme="minorHAnsi"/>
                <w:color w:val="000000"/>
                <w:shd w:val="clear" w:color="auto" w:fill="FFFFFF"/>
              </w:rPr>
              <w:t xml:space="preserve"> </w:t>
            </w:r>
          </w:p>
          <w:p w14:paraId="29B4DA20" w14:textId="7566427B" w:rsidR="0003391E" w:rsidRPr="00EC0788" w:rsidRDefault="0003391E" w:rsidP="00D820AD">
            <w:pPr>
              <w:rPr>
                <w:rStyle w:val="content"/>
                <w:rFonts w:cs="Arial"/>
                <w:shd w:val="clear" w:color="auto" w:fill="FFFFFF"/>
              </w:rPr>
            </w:pPr>
            <w:r w:rsidRPr="003F79BD">
              <w:rPr>
                <w:rStyle w:val="HTMLCode"/>
                <w:rFonts w:asciiTheme="minorHAnsi" w:eastAsiaTheme="minorHAnsi" w:hAnsiTheme="minorHAnsi" w:cstheme="minorHAnsi"/>
                <w:b/>
                <w:bCs/>
                <w:i/>
                <w:iCs/>
                <w:color w:val="000000"/>
                <w:sz w:val="22"/>
                <w:szCs w:val="22"/>
                <w:highlight w:val="yellow"/>
                <w:shd w:val="clear" w:color="auto" w:fill="FFFFFF"/>
              </w:rPr>
              <w:t>Effective January 1, 2022</w:t>
            </w:r>
          </w:p>
        </w:tc>
        <w:tc>
          <w:tcPr>
            <w:tcW w:w="2490" w:type="dxa"/>
            <w:shd w:val="clear" w:color="auto" w:fill="auto"/>
          </w:tcPr>
          <w:p w14:paraId="1A20C2DD" w14:textId="062BC9AB" w:rsidR="0003391E" w:rsidRDefault="0003391E" w:rsidP="00C04A94">
            <w:pPr>
              <w:jc w:val="center"/>
              <w:rPr>
                <w:b/>
                <w:sz w:val="28"/>
                <w:szCs w:val="28"/>
              </w:rPr>
            </w:pPr>
            <w:r>
              <w:rPr>
                <w:b/>
                <w:sz w:val="28"/>
                <w:szCs w:val="28"/>
              </w:rPr>
              <w:t>NEUTRAL</w:t>
            </w:r>
          </w:p>
        </w:tc>
        <w:tc>
          <w:tcPr>
            <w:tcW w:w="3353" w:type="dxa"/>
            <w:shd w:val="clear" w:color="auto" w:fill="auto"/>
          </w:tcPr>
          <w:p w14:paraId="75E04577" w14:textId="2BAE9BE0" w:rsidR="0003391E" w:rsidRDefault="003F79BD" w:rsidP="00437D4D">
            <w:pPr>
              <w:jc w:val="center"/>
              <w:rPr>
                <w:rFonts w:cstheme="minorHAnsi"/>
                <w:b/>
              </w:rPr>
            </w:pPr>
            <w:r>
              <w:rPr>
                <w:rFonts w:cstheme="minorHAnsi"/>
                <w:b/>
              </w:rPr>
              <w:t>SIGNED BY GOVERNOR</w:t>
            </w:r>
          </w:p>
        </w:tc>
      </w:tr>
      <w:tr w:rsidR="0003391E" w:rsidRPr="008053E4" w14:paraId="2CB8CD57" w14:textId="77777777" w:rsidTr="0069444C">
        <w:tc>
          <w:tcPr>
            <w:tcW w:w="1861" w:type="dxa"/>
            <w:shd w:val="clear" w:color="auto" w:fill="auto"/>
          </w:tcPr>
          <w:p w14:paraId="6A801A2A" w14:textId="77777777" w:rsidR="0003391E" w:rsidRDefault="00AB3D6F" w:rsidP="00307DCA">
            <w:pPr>
              <w:jc w:val="center"/>
              <w:rPr>
                <w:rStyle w:val="Hyperlink"/>
              </w:rPr>
            </w:pPr>
            <w:hyperlink r:id="rId34" w:history="1">
              <w:r w:rsidR="0003391E">
                <w:rPr>
                  <w:rStyle w:val="Hyperlink"/>
                </w:rPr>
                <w:t>SB 567 (</w:t>
              </w:r>
              <w:proofErr w:type="spellStart"/>
              <w:r w:rsidR="0003391E">
                <w:rPr>
                  <w:rStyle w:val="Hyperlink"/>
                </w:rPr>
                <w:t>Villivalam</w:t>
              </w:r>
              <w:proofErr w:type="spellEnd"/>
              <w:r w:rsidR="0003391E">
                <w:rPr>
                  <w:rStyle w:val="Hyperlink"/>
                </w:rPr>
                <w:t>)</w:t>
              </w:r>
            </w:hyperlink>
          </w:p>
          <w:p w14:paraId="4D34A4CE" w14:textId="4F789CCA" w:rsidR="0003391E" w:rsidRDefault="0003391E" w:rsidP="00F77001">
            <w:pPr>
              <w:jc w:val="center"/>
            </w:pPr>
            <w:r>
              <w:rPr>
                <w:rStyle w:val="Hyperlink"/>
              </w:rPr>
              <w:t>(Moeller)</w:t>
            </w:r>
          </w:p>
        </w:tc>
        <w:tc>
          <w:tcPr>
            <w:tcW w:w="6781" w:type="dxa"/>
            <w:shd w:val="clear" w:color="auto" w:fill="auto"/>
          </w:tcPr>
          <w:p w14:paraId="389F1432" w14:textId="042BB177" w:rsidR="0003391E" w:rsidRDefault="0003391E" w:rsidP="00307DCA">
            <w:pPr>
              <w:rPr>
                <w:rStyle w:val="HTMLCode"/>
                <w:rFonts w:asciiTheme="minorHAnsi" w:eastAsiaTheme="minorHAnsi" w:hAnsiTheme="minorHAnsi" w:cstheme="minorHAnsi"/>
                <w:b/>
                <w:bCs/>
                <w:i/>
                <w:iCs/>
                <w:color w:val="000000"/>
                <w:sz w:val="22"/>
                <w:szCs w:val="22"/>
                <w:shd w:val="clear" w:color="auto" w:fill="FFFFFF"/>
              </w:rPr>
            </w:pPr>
            <w:r>
              <w:rPr>
                <w:rStyle w:val="HTMLCode"/>
                <w:rFonts w:asciiTheme="minorHAnsi" w:eastAsiaTheme="minorHAnsi" w:hAnsiTheme="minorHAnsi" w:cstheme="minorHAnsi"/>
                <w:color w:val="000000"/>
                <w:sz w:val="22"/>
                <w:szCs w:val="22"/>
                <w:shd w:val="clear" w:color="auto" w:fill="FFFFFF"/>
              </w:rPr>
              <w:t xml:space="preserve">Allows optometrists to provide services via telehealth.  </w:t>
            </w:r>
          </w:p>
          <w:p w14:paraId="77A33ECF" w14:textId="49D68680" w:rsidR="0003391E" w:rsidRPr="00BA3F91" w:rsidRDefault="0003391E" w:rsidP="00F77001">
            <w:pPr>
              <w:rPr>
                <w:rStyle w:val="HTMLCode"/>
                <w:rFonts w:asciiTheme="minorHAnsi" w:eastAsiaTheme="minorHAnsi" w:hAnsiTheme="minorHAnsi"/>
                <w:color w:val="000000"/>
                <w:sz w:val="22"/>
                <w:szCs w:val="22"/>
                <w:shd w:val="clear" w:color="auto" w:fill="FFFFFF"/>
              </w:rPr>
            </w:pPr>
            <w:r w:rsidRPr="00E06900">
              <w:rPr>
                <w:rStyle w:val="HTMLCode"/>
                <w:rFonts w:asciiTheme="minorHAnsi" w:eastAsiaTheme="minorHAnsi" w:hAnsiTheme="minorHAnsi" w:cstheme="minorHAnsi"/>
                <w:b/>
                <w:bCs/>
                <w:i/>
                <w:iCs/>
                <w:color w:val="000000"/>
                <w:sz w:val="22"/>
                <w:szCs w:val="22"/>
                <w:shd w:val="clear" w:color="auto" w:fill="FFFFFF"/>
              </w:rPr>
              <w:t>Effective January 1, 2022</w:t>
            </w:r>
          </w:p>
        </w:tc>
        <w:tc>
          <w:tcPr>
            <w:tcW w:w="2490" w:type="dxa"/>
            <w:shd w:val="clear" w:color="auto" w:fill="auto"/>
          </w:tcPr>
          <w:p w14:paraId="4CAD9272" w14:textId="0950100B" w:rsidR="0003391E" w:rsidRPr="00E86754" w:rsidRDefault="0003391E" w:rsidP="00C04A94">
            <w:pPr>
              <w:jc w:val="center"/>
              <w:rPr>
                <w:b/>
                <w:strike/>
                <w:sz w:val="28"/>
                <w:szCs w:val="28"/>
              </w:rPr>
            </w:pPr>
            <w:r>
              <w:rPr>
                <w:b/>
                <w:sz w:val="28"/>
                <w:szCs w:val="28"/>
              </w:rPr>
              <w:t>MONITOR</w:t>
            </w:r>
          </w:p>
        </w:tc>
        <w:tc>
          <w:tcPr>
            <w:tcW w:w="3353" w:type="dxa"/>
            <w:shd w:val="clear" w:color="auto" w:fill="auto"/>
          </w:tcPr>
          <w:p w14:paraId="39D7F402" w14:textId="157BA809" w:rsidR="0003391E" w:rsidRDefault="00C13677" w:rsidP="00437D4D">
            <w:pPr>
              <w:jc w:val="center"/>
              <w:rPr>
                <w:rFonts w:cstheme="minorHAnsi"/>
                <w:b/>
              </w:rPr>
            </w:pPr>
            <w:r>
              <w:rPr>
                <w:rFonts w:cstheme="minorHAnsi"/>
                <w:b/>
              </w:rPr>
              <w:t>SENT TO GOVERNOR</w:t>
            </w:r>
          </w:p>
        </w:tc>
      </w:tr>
      <w:tr w:rsidR="00245851" w:rsidRPr="008053E4" w14:paraId="601A04DF" w14:textId="77777777" w:rsidTr="0069444C">
        <w:tc>
          <w:tcPr>
            <w:tcW w:w="1861" w:type="dxa"/>
            <w:shd w:val="clear" w:color="auto" w:fill="auto"/>
          </w:tcPr>
          <w:p w14:paraId="59DBDAC2" w14:textId="46234B15" w:rsidR="00245851" w:rsidRDefault="00AB3D6F" w:rsidP="00B45359">
            <w:pPr>
              <w:jc w:val="center"/>
            </w:pPr>
            <w:hyperlink r:id="rId35" w:history="1">
              <w:r w:rsidR="00245851">
                <w:rPr>
                  <w:rStyle w:val="Hyperlink"/>
                </w:rPr>
                <w:t>SB 672 (Hunter/Burke)</w:t>
              </w:r>
            </w:hyperlink>
          </w:p>
          <w:p w14:paraId="6D7CF9BF" w14:textId="7C300925" w:rsidR="00245851" w:rsidRDefault="00245851" w:rsidP="00B45359">
            <w:pPr>
              <w:jc w:val="center"/>
            </w:pPr>
          </w:p>
        </w:tc>
        <w:tc>
          <w:tcPr>
            <w:tcW w:w="6781" w:type="dxa"/>
            <w:shd w:val="clear" w:color="auto" w:fill="auto"/>
          </w:tcPr>
          <w:p w14:paraId="6389D8AE" w14:textId="3F7B66CA" w:rsidR="00245851" w:rsidRDefault="00245851" w:rsidP="00245851">
            <w:pPr>
              <w:shd w:val="clear" w:color="auto" w:fill="FFFFFF"/>
            </w:pPr>
            <w:r>
              <w:t xml:space="preserve">Applies reasonable limitations on covenants to compete and covenants not to solicit, aligning the provisions with judicial standards set forth under case law.  The provisions also nullify covenants not to compete for employees terminated, furloughed, or laid off because of the COVID 19 pandemic.  The provisions apply to covenants not to compete to those employees with an actual or expected annualized rate of earnings </w:t>
            </w:r>
            <w:proofErr w:type="gramStart"/>
            <w:r>
              <w:t>in excess of</w:t>
            </w:r>
            <w:proofErr w:type="gramEnd"/>
            <w:r>
              <w:t xml:space="preserve"> $75,000 and covenants not to solicit those employees with an actual or expected annualized rate of earnings in excess of $45,000.  Both of those salary thresholds increase under a schedule set forth under the bill, and further applies the provisions to only those non-competes </w:t>
            </w:r>
            <w:proofErr w:type="gramStart"/>
            <w:r>
              <w:t>entered into</w:t>
            </w:r>
            <w:proofErr w:type="gramEnd"/>
            <w:r>
              <w:t xml:space="preserve"> after the January 1, 2022.</w:t>
            </w:r>
          </w:p>
          <w:p w14:paraId="6E85FAE3" w14:textId="6FAB92CE" w:rsidR="00245851" w:rsidRPr="00245851" w:rsidRDefault="00245851" w:rsidP="00245851">
            <w:pPr>
              <w:shd w:val="clear" w:color="auto" w:fill="FFFFFF"/>
              <w:rPr>
                <w:b/>
                <w:bCs/>
                <w:i/>
                <w:iCs/>
              </w:rPr>
            </w:pPr>
            <w:r>
              <w:rPr>
                <w:b/>
                <w:bCs/>
                <w:i/>
                <w:iCs/>
              </w:rPr>
              <w:t>Effective January 1, 2022</w:t>
            </w:r>
          </w:p>
        </w:tc>
        <w:tc>
          <w:tcPr>
            <w:tcW w:w="2490" w:type="dxa"/>
            <w:shd w:val="clear" w:color="auto" w:fill="auto"/>
          </w:tcPr>
          <w:p w14:paraId="24F6C2E3" w14:textId="3EEFCA68" w:rsidR="00245851" w:rsidRDefault="00245851" w:rsidP="00647968">
            <w:pPr>
              <w:jc w:val="center"/>
              <w:rPr>
                <w:b/>
                <w:sz w:val="28"/>
                <w:szCs w:val="28"/>
              </w:rPr>
            </w:pPr>
            <w:r>
              <w:rPr>
                <w:b/>
                <w:sz w:val="28"/>
                <w:szCs w:val="28"/>
              </w:rPr>
              <w:t>MONITOR</w:t>
            </w:r>
          </w:p>
        </w:tc>
        <w:tc>
          <w:tcPr>
            <w:tcW w:w="3353" w:type="dxa"/>
            <w:shd w:val="clear" w:color="auto" w:fill="auto"/>
          </w:tcPr>
          <w:p w14:paraId="299F5203" w14:textId="2B1DB06F" w:rsidR="00245851" w:rsidRDefault="00245851" w:rsidP="00A61E0D">
            <w:pPr>
              <w:jc w:val="center"/>
              <w:rPr>
                <w:rFonts w:cstheme="minorHAnsi"/>
                <w:b/>
              </w:rPr>
            </w:pPr>
            <w:r>
              <w:rPr>
                <w:rFonts w:cstheme="minorHAnsi"/>
                <w:b/>
              </w:rPr>
              <w:t>PASSED BOTH HOUSES</w:t>
            </w:r>
          </w:p>
        </w:tc>
      </w:tr>
      <w:tr w:rsidR="0003391E" w:rsidRPr="008053E4" w14:paraId="635AB505" w14:textId="77777777" w:rsidTr="0069444C">
        <w:tc>
          <w:tcPr>
            <w:tcW w:w="1861" w:type="dxa"/>
            <w:shd w:val="clear" w:color="auto" w:fill="auto"/>
          </w:tcPr>
          <w:p w14:paraId="56E282BD" w14:textId="77777777" w:rsidR="0003391E" w:rsidRPr="00B45359" w:rsidRDefault="00AB3D6F" w:rsidP="00B45359">
            <w:pPr>
              <w:jc w:val="center"/>
            </w:pPr>
            <w:hyperlink r:id="rId36" w:history="1">
              <w:r w:rsidR="0003391E" w:rsidRPr="00B45359">
                <w:rPr>
                  <w:color w:val="0563C1" w:themeColor="hyperlink"/>
                  <w:u w:val="single"/>
                </w:rPr>
                <w:t xml:space="preserve">SB 930 </w:t>
              </w:r>
              <w:r w:rsidR="0003391E">
                <w:rPr>
                  <w:color w:val="0563C1" w:themeColor="hyperlink"/>
                  <w:u w:val="single"/>
                </w:rPr>
                <w:t>–</w:t>
              </w:r>
              <w:r w:rsidR="0003391E" w:rsidRPr="00B45359">
                <w:rPr>
                  <w:color w:val="0563C1" w:themeColor="hyperlink"/>
                  <w:u w:val="single"/>
                </w:rPr>
                <w:t xml:space="preserve"> SA#1 (Morrison)</w:t>
              </w:r>
            </w:hyperlink>
            <w:r w:rsidR="0003391E">
              <w:rPr>
                <w:color w:val="0563C1" w:themeColor="hyperlink"/>
                <w:u w:val="single"/>
              </w:rPr>
              <w:t xml:space="preserve"> (Morgan)</w:t>
            </w:r>
          </w:p>
          <w:p w14:paraId="0E3CE28D" w14:textId="67162050" w:rsidR="0003391E" w:rsidRDefault="0003391E" w:rsidP="00647968">
            <w:pPr>
              <w:jc w:val="center"/>
            </w:pPr>
          </w:p>
        </w:tc>
        <w:tc>
          <w:tcPr>
            <w:tcW w:w="6781" w:type="dxa"/>
            <w:shd w:val="clear" w:color="auto" w:fill="auto"/>
          </w:tcPr>
          <w:p w14:paraId="083ACDF9" w14:textId="14004BF1" w:rsidR="0003391E" w:rsidRPr="005E2033" w:rsidRDefault="0003391E" w:rsidP="00307DCA">
            <w:r w:rsidRPr="005E2033">
              <w:rPr>
                <w:rFonts w:cstheme="minorHAnsi"/>
                <w:color w:val="000000"/>
              </w:rPr>
              <w:t>As amended</w:t>
            </w:r>
            <w:r w:rsidR="005E2033">
              <w:rPr>
                <w:rFonts w:cstheme="minorHAnsi"/>
                <w:color w:val="000000"/>
              </w:rPr>
              <w:t xml:space="preserve">, provides </w:t>
            </w:r>
            <w:r w:rsidRPr="005E2033">
              <w:rPr>
                <w:rFonts w:cstheme="minorHAnsi"/>
                <w:color w:val="000000"/>
              </w:rPr>
              <w:t xml:space="preserve">that the task force on disability income insurance and parity for behavioral health conditions shall submit findings and recommendations to the Governor and the General Assembly by December 31, 2022 (rather than December 31, 2020). Provides that the task force is dissolved, and the provision is repealed on January 1, 2023 (rather than December 31, 2021).  </w:t>
            </w:r>
          </w:p>
          <w:p w14:paraId="50CBF78A" w14:textId="52FC8626" w:rsidR="0003391E" w:rsidRPr="002C62D8" w:rsidRDefault="0003391E" w:rsidP="00647968">
            <w:pPr>
              <w:rPr>
                <w:rStyle w:val="HTMLCode"/>
                <w:rFonts w:asciiTheme="minorHAnsi" w:eastAsiaTheme="minorHAnsi" w:hAnsiTheme="minorHAnsi" w:cstheme="minorBidi"/>
                <w:b/>
                <w:bCs/>
                <w:i/>
                <w:iCs/>
                <w:sz w:val="22"/>
                <w:szCs w:val="22"/>
              </w:rPr>
            </w:pPr>
            <w:r w:rsidRPr="0046199A">
              <w:rPr>
                <w:b/>
                <w:bCs/>
                <w:i/>
                <w:iCs/>
              </w:rPr>
              <w:t>Effective immediately.</w:t>
            </w:r>
            <w:r>
              <w:t xml:space="preserve"> </w:t>
            </w:r>
          </w:p>
        </w:tc>
        <w:tc>
          <w:tcPr>
            <w:tcW w:w="2490" w:type="dxa"/>
            <w:shd w:val="clear" w:color="auto" w:fill="auto"/>
          </w:tcPr>
          <w:p w14:paraId="3BE44B70" w14:textId="4374F814" w:rsidR="0003391E" w:rsidRPr="00647968" w:rsidRDefault="0003391E" w:rsidP="00647968">
            <w:pPr>
              <w:jc w:val="center"/>
              <w:rPr>
                <w:b/>
                <w:sz w:val="28"/>
                <w:szCs w:val="28"/>
              </w:rPr>
            </w:pPr>
            <w:r>
              <w:rPr>
                <w:b/>
                <w:sz w:val="28"/>
                <w:szCs w:val="28"/>
              </w:rPr>
              <w:t xml:space="preserve">NEUTRAL </w:t>
            </w:r>
          </w:p>
        </w:tc>
        <w:tc>
          <w:tcPr>
            <w:tcW w:w="3353" w:type="dxa"/>
            <w:shd w:val="clear" w:color="auto" w:fill="auto"/>
          </w:tcPr>
          <w:p w14:paraId="402EED84" w14:textId="0A4C8578" w:rsidR="0003391E" w:rsidRDefault="00C13677" w:rsidP="00A61E0D">
            <w:pPr>
              <w:jc w:val="center"/>
              <w:rPr>
                <w:rFonts w:cstheme="minorHAnsi"/>
                <w:b/>
              </w:rPr>
            </w:pPr>
            <w:r>
              <w:rPr>
                <w:rFonts w:cstheme="minorHAnsi"/>
                <w:b/>
              </w:rPr>
              <w:t>SENT TO GOVERNOR</w:t>
            </w:r>
          </w:p>
        </w:tc>
      </w:tr>
      <w:tr w:rsidR="0003391E" w:rsidRPr="008053E4" w14:paraId="06A727D6" w14:textId="77777777" w:rsidTr="0069444C">
        <w:tc>
          <w:tcPr>
            <w:tcW w:w="1861" w:type="dxa"/>
            <w:shd w:val="clear" w:color="auto" w:fill="auto"/>
          </w:tcPr>
          <w:p w14:paraId="6B267E53" w14:textId="77777777" w:rsidR="0003391E" w:rsidRDefault="00AB3D6F" w:rsidP="00F5446C">
            <w:pPr>
              <w:jc w:val="center"/>
              <w:rPr>
                <w:color w:val="0563C1" w:themeColor="hyperlink"/>
                <w:u w:val="single"/>
              </w:rPr>
            </w:pPr>
            <w:hyperlink r:id="rId37" w:history="1">
              <w:r w:rsidR="0003391E" w:rsidRPr="00F5446C">
                <w:rPr>
                  <w:color w:val="0563C1" w:themeColor="hyperlink"/>
                  <w:u w:val="single"/>
                </w:rPr>
                <w:t xml:space="preserve">SB 967 (Castro) </w:t>
              </w:r>
              <w:r w:rsidR="0003391E">
                <w:rPr>
                  <w:color w:val="0563C1" w:themeColor="hyperlink"/>
                  <w:u w:val="single"/>
                </w:rPr>
                <w:t xml:space="preserve">  </w:t>
              </w:r>
              <w:r w:rsidR="0003391E" w:rsidRPr="00F5446C">
                <w:rPr>
                  <w:color w:val="0563C1" w:themeColor="hyperlink"/>
                  <w:u w:val="single"/>
                </w:rPr>
                <w:t>SA#1</w:t>
              </w:r>
            </w:hyperlink>
            <w:r w:rsidR="0003391E">
              <w:rPr>
                <w:color w:val="0563C1" w:themeColor="hyperlink"/>
                <w:u w:val="single"/>
              </w:rPr>
              <w:t xml:space="preserve"> (Greenwood)</w:t>
            </w:r>
          </w:p>
          <w:p w14:paraId="3EC9177C" w14:textId="77777777" w:rsidR="0003391E" w:rsidRDefault="0003391E" w:rsidP="00F5446C">
            <w:pPr>
              <w:jc w:val="center"/>
              <w:rPr>
                <w:color w:val="0563C1" w:themeColor="hyperlink"/>
                <w:u w:val="single"/>
              </w:rPr>
            </w:pPr>
          </w:p>
          <w:p w14:paraId="4396C816" w14:textId="77777777" w:rsidR="0003391E" w:rsidRPr="00F5446C" w:rsidRDefault="0003391E" w:rsidP="00F5446C">
            <w:pPr>
              <w:jc w:val="center"/>
            </w:pPr>
          </w:p>
          <w:p w14:paraId="6168A80A" w14:textId="4B63A18E" w:rsidR="0003391E" w:rsidRPr="00647968" w:rsidRDefault="0003391E" w:rsidP="00647968">
            <w:pPr>
              <w:jc w:val="center"/>
              <w:rPr>
                <w:color w:val="FF0000"/>
              </w:rPr>
            </w:pPr>
          </w:p>
        </w:tc>
        <w:tc>
          <w:tcPr>
            <w:tcW w:w="6781" w:type="dxa"/>
            <w:shd w:val="clear" w:color="auto" w:fill="auto"/>
          </w:tcPr>
          <w:p w14:paraId="30A393E0" w14:textId="31AF9E39" w:rsidR="0003391E" w:rsidRPr="005E2033" w:rsidRDefault="0003391E" w:rsidP="001108C9">
            <w:pPr>
              <w:shd w:val="clear" w:color="auto" w:fill="FFFFFF"/>
              <w:rPr>
                <w:rFonts w:eastAsia="Times New Roman" w:cs="Arial"/>
                <w:color w:val="222222"/>
              </w:rPr>
            </w:pPr>
            <w:r w:rsidRPr="005E2033">
              <w:rPr>
                <w:rFonts w:cstheme="minorHAnsi"/>
              </w:rPr>
              <w:lastRenderedPageBreak/>
              <w:t>As amended</w:t>
            </w:r>
            <w:r w:rsidR="003E55CC">
              <w:rPr>
                <w:rFonts w:cstheme="minorHAnsi"/>
              </w:rPr>
              <w:t>, i</w:t>
            </w:r>
            <w:r w:rsidRPr="005E2033">
              <w:rPr>
                <w:rFonts w:eastAsia="Times New Roman" w:cs="Arial"/>
                <w:color w:val="222222"/>
              </w:rPr>
              <w:t xml:space="preserve">ncludes mandate language that refers to the essential health benefits for pregnancy, maternity, and newborn care.  ACA plans are mandated to provide coverage for the above services under </w:t>
            </w:r>
            <w:r w:rsidRPr="005E2033">
              <w:rPr>
                <w:rFonts w:eastAsia="Times New Roman" w:cs="Arial"/>
                <w:color w:val="222222"/>
              </w:rPr>
              <w:lastRenderedPageBreak/>
              <w:t>42.U.S.C. 18022(b</w:t>
            </w:r>
            <w:r w:rsidR="005E2033" w:rsidRPr="005E2033">
              <w:rPr>
                <w:rFonts w:eastAsia="Times New Roman" w:cs="Arial"/>
                <w:color w:val="222222"/>
              </w:rPr>
              <w:t xml:space="preserve">); </w:t>
            </w:r>
            <w:r w:rsidRPr="005E2033">
              <w:rPr>
                <w:rFonts w:eastAsia="Times New Roman" w:cs="Arial"/>
                <w:color w:val="222222"/>
              </w:rPr>
              <w:t>Includes language requiring insurers to provide “high-risk” consumers access to clinically appropriate case management programs consistent with the Medical Patient Rights Act</w:t>
            </w:r>
            <w:r w:rsidR="005E2033" w:rsidRPr="005E2033">
              <w:rPr>
                <w:rFonts w:eastAsia="Times New Roman" w:cs="Arial"/>
                <w:color w:val="222222"/>
              </w:rPr>
              <w:t xml:space="preserve">; </w:t>
            </w:r>
            <w:r w:rsidRPr="005E2033">
              <w:rPr>
                <w:rFonts w:eastAsia="Times New Roman" w:cs="Arial"/>
                <w:color w:val="222222"/>
              </w:rPr>
              <w:t xml:space="preserve"> Includes hypertension, diabetes, and hemorrhage as “high-risk” within the mandat</w:t>
            </w:r>
            <w:r w:rsidR="005E2033" w:rsidRPr="005E2033">
              <w:rPr>
                <w:rFonts w:eastAsia="Times New Roman" w:cs="Arial"/>
                <w:color w:val="222222"/>
              </w:rPr>
              <w:t xml:space="preserve">e; and </w:t>
            </w:r>
            <w:proofErr w:type="gramStart"/>
            <w:r w:rsidRPr="005E2033">
              <w:rPr>
                <w:rFonts w:eastAsia="Times New Roman" w:cs="Arial"/>
                <w:color w:val="222222"/>
              </w:rPr>
              <w:t>The</w:t>
            </w:r>
            <w:proofErr w:type="gramEnd"/>
            <w:r w:rsidRPr="005E2033">
              <w:rPr>
                <w:rFonts w:eastAsia="Times New Roman" w:cs="Arial"/>
                <w:color w:val="222222"/>
              </w:rPr>
              <w:t xml:space="preserve"> amendment adds a definition to “case management” in the Insurance Code.</w:t>
            </w:r>
          </w:p>
          <w:p w14:paraId="070383CB" w14:textId="0E6CB90B" w:rsidR="0003391E" w:rsidRPr="00917C42" w:rsidRDefault="0003391E" w:rsidP="00647968">
            <w:pPr>
              <w:rPr>
                <w:rFonts w:cstheme="minorHAnsi"/>
                <w:shd w:val="clear" w:color="auto" w:fill="FFFFFF"/>
              </w:rPr>
            </w:pPr>
            <w:r w:rsidRPr="0046199A">
              <w:rPr>
                <w:rFonts w:cstheme="minorHAnsi"/>
                <w:b/>
                <w:bCs/>
                <w:i/>
                <w:iCs/>
              </w:rPr>
              <w:t>Effective upon becoming law</w:t>
            </w:r>
          </w:p>
        </w:tc>
        <w:tc>
          <w:tcPr>
            <w:tcW w:w="2490" w:type="dxa"/>
            <w:shd w:val="clear" w:color="auto" w:fill="auto"/>
          </w:tcPr>
          <w:p w14:paraId="3A04130C" w14:textId="77777777" w:rsidR="0003391E" w:rsidRPr="005E2033" w:rsidRDefault="005E2033" w:rsidP="005E2033">
            <w:pPr>
              <w:jc w:val="center"/>
              <w:rPr>
                <w:b/>
                <w:sz w:val="28"/>
                <w:szCs w:val="28"/>
              </w:rPr>
            </w:pPr>
            <w:r w:rsidRPr="005E2033">
              <w:rPr>
                <w:b/>
                <w:sz w:val="28"/>
                <w:szCs w:val="28"/>
              </w:rPr>
              <w:lastRenderedPageBreak/>
              <w:t xml:space="preserve">NEUTRAL </w:t>
            </w:r>
          </w:p>
          <w:p w14:paraId="2CE3B566" w14:textId="52C40CC2" w:rsidR="005E2033" w:rsidRPr="00917C42" w:rsidRDefault="005E2033" w:rsidP="005E2033">
            <w:pPr>
              <w:jc w:val="center"/>
              <w:rPr>
                <w:b/>
                <w:sz w:val="28"/>
                <w:szCs w:val="28"/>
              </w:rPr>
            </w:pPr>
            <w:r w:rsidRPr="005E2033">
              <w:rPr>
                <w:b/>
                <w:sz w:val="28"/>
                <w:szCs w:val="28"/>
              </w:rPr>
              <w:t>AS AMENDED</w:t>
            </w:r>
          </w:p>
        </w:tc>
        <w:tc>
          <w:tcPr>
            <w:tcW w:w="3353" w:type="dxa"/>
            <w:shd w:val="clear" w:color="auto" w:fill="auto"/>
          </w:tcPr>
          <w:p w14:paraId="36B2DBCD" w14:textId="551525F3" w:rsidR="0003391E" w:rsidRPr="00917C42" w:rsidRDefault="00C13677" w:rsidP="00437D4D">
            <w:pPr>
              <w:jc w:val="center"/>
              <w:rPr>
                <w:rFonts w:cstheme="minorHAnsi"/>
                <w:b/>
              </w:rPr>
            </w:pPr>
            <w:r>
              <w:rPr>
                <w:rFonts w:cstheme="minorHAnsi"/>
                <w:b/>
              </w:rPr>
              <w:t>SENT TO GOVERNOR</w:t>
            </w:r>
          </w:p>
        </w:tc>
      </w:tr>
      <w:tr w:rsidR="0003391E" w:rsidRPr="008053E4" w14:paraId="12CF2898" w14:textId="77777777" w:rsidTr="0069444C">
        <w:tc>
          <w:tcPr>
            <w:tcW w:w="1861" w:type="dxa"/>
            <w:shd w:val="clear" w:color="auto" w:fill="auto"/>
          </w:tcPr>
          <w:p w14:paraId="0F94AF8B" w14:textId="77777777" w:rsidR="0003391E" w:rsidRDefault="00AB3D6F" w:rsidP="007D625A">
            <w:pPr>
              <w:jc w:val="center"/>
              <w:rPr>
                <w:color w:val="0070C0"/>
              </w:rPr>
            </w:pPr>
            <w:hyperlink w:anchor="_top" w:history="1">
              <w:r w:rsidR="0003391E" w:rsidRPr="00D66D4E">
                <w:rPr>
                  <w:color w:val="0070C0"/>
                  <w:u w:val="single"/>
                </w:rPr>
                <w:t xml:space="preserve">SB 968 </w:t>
              </w:r>
              <w:r w:rsidR="0003391E">
                <w:rPr>
                  <w:color w:val="0070C0"/>
                  <w:u w:val="single"/>
                </w:rPr>
                <w:t>–</w:t>
              </w:r>
              <w:r w:rsidR="0003391E" w:rsidRPr="00D66D4E">
                <w:rPr>
                  <w:color w:val="0070C0"/>
                  <w:u w:val="single"/>
                </w:rPr>
                <w:t xml:space="preserve"> SA #1 </w:t>
              </w:r>
              <w:r w:rsidR="0003391E">
                <w:rPr>
                  <w:color w:val="0070C0"/>
                  <w:u w:val="single"/>
                </w:rPr>
                <w:t>–</w:t>
              </w:r>
              <w:r w:rsidR="0003391E" w:rsidRPr="00D66D4E">
                <w:rPr>
                  <w:color w:val="0070C0"/>
                  <w:u w:val="single"/>
                </w:rPr>
                <w:t xml:space="preserve"> </w:t>
              </w:r>
              <w:r w:rsidR="0003391E">
                <w:rPr>
                  <w:color w:val="0070C0"/>
                  <w:u w:val="single"/>
                </w:rPr>
                <w:t>(</w:t>
              </w:r>
              <w:r w:rsidR="0003391E" w:rsidRPr="00D66D4E">
                <w:rPr>
                  <w:color w:val="0070C0"/>
                  <w:u w:val="single"/>
                </w:rPr>
                <w:t>Johnson</w:t>
              </w:r>
            </w:hyperlink>
            <w:r w:rsidR="0003391E">
              <w:rPr>
                <w:color w:val="0070C0"/>
              </w:rPr>
              <w:t>)</w:t>
            </w:r>
          </w:p>
          <w:p w14:paraId="561F20BE" w14:textId="77777777" w:rsidR="0003391E" w:rsidRPr="00D66D4E" w:rsidRDefault="0003391E" w:rsidP="007D625A">
            <w:pPr>
              <w:jc w:val="center"/>
              <w:rPr>
                <w:color w:val="0070C0"/>
              </w:rPr>
            </w:pPr>
            <w:r>
              <w:rPr>
                <w:color w:val="0070C0"/>
              </w:rPr>
              <w:t>(</w:t>
            </w:r>
            <w:r w:rsidRPr="00327FE2">
              <w:rPr>
                <w:color w:val="0070C0"/>
                <w:u w:val="single"/>
              </w:rPr>
              <w:t>Ammons</w:t>
            </w:r>
            <w:r>
              <w:rPr>
                <w:color w:val="0070C0"/>
              </w:rPr>
              <w:t>)</w:t>
            </w:r>
          </w:p>
          <w:p w14:paraId="59B7EE5D" w14:textId="04A1D3E4" w:rsidR="0003391E" w:rsidRDefault="0003391E" w:rsidP="00471718">
            <w:pPr>
              <w:jc w:val="center"/>
            </w:pPr>
          </w:p>
        </w:tc>
        <w:tc>
          <w:tcPr>
            <w:tcW w:w="6781" w:type="dxa"/>
            <w:shd w:val="clear" w:color="auto" w:fill="auto"/>
          </w:tcPr>
          <w:p w14:paraId="370A6A14" w14:textId="57B3A7D4" w:rsidR="0003391E" w:rsidRPr="00885D7C" w:rsidRDefault="0003391E" w:rsidP="00307DCA">
            <w:pPr>
              <w:rPr>
                <w:rFonts w:eastAsia="Times New Roman" w:cstheme="minorHAnsi"/>
              </w:rPr>
            </w:pPr>
            <w:r w:rsidRPr="00885D7C">
              <w:rPr>
                <w:rFonts w:eastAsia="Times New Roman" w:cstheme="minorHAnsi"/>
              </w:rPr>
              <w:t>As amende</w:t>
            </w:r>
            <w:r w:rsidR="00885D7C">
              <w:rPr>
                <w:rFonts w:eastAsia="Times New Roman" w:cstheme="minorHAnsi"/>
              </w:rPr>
              <w:t xml:space="preserve">d, </w:t>
            </w:r>
            <w:r w:rsidR="005E2033" w:rsidRPr="00885D7C">
              <w:rPr>
                <w:rFonts w:eastAsia="Times New Roman" w:cstheme="minorHAnsi"/>
              </w:rPr>
              <w:t xml:space="preserve">mandates </w:t>
            </w:r>
            <w:r w:rsidRPr="00885D7C">
              <w:rPr>
                <w:rFonts w:eastAsia="Times New Roman" w:cstheme="minorHAnsi"/>
              </w:rPr>
              <w:t xml:space="preserve">coverage for medically necessary pancreatic cancer screening. </w:t>
            </w:r>
          </w:p>
          <w:p w14:paraId="00405775" w14:textId="25946167" w:rsidR="0003391E" w:rsidRDefault="0003391E" w:rsidP="00471718">
            <w:r w:rsidRPr="002C62D8">
              <w:rPr>
                <w:rFonts w:eastAsia="Times New Roman" w:cstheme="minorHAnsi"/>
                <w:b/>
                <w:bCs/>
                <w:i/>
                <w:iCs/>
              </w:rPr>
              <w:t>Effective January 1, 2022</w:t>
            </w:r>
          </w:p>
        </w:tc>
        <w:tc>
          <w:tcPr>
            <w:tcW w:w="2490" w:type="dxa"/>
            <w:shd w:val="clear" w:color="auto" w:fill="auto"/>
          </w:tcPr>
          <w:p w14:paraId="68F901CF" w14:textId="77777777" w:rsidR="0003391E" w:rsidRPr="005E2033" w:rsidRDefault="005E2033" w:rsidP="005E2033">
            <w:pPr>
              <w:jc w:val="center"/>
              <w:rPr>
                <w:b/>
                <w:sz w:val="28"/>
                <w:szCs w:val="28"/>
              </w:rPr>
            </w:pPr>
            <w:r w:rsidRPr="005E2033">
              <w:rPr>
                <w:b/>
                <w:sz w:val="28"/>
                <w:szCs w:val="28"/>
              </w:rPr>
              <w:t>NEUTRAL</w:t>
            </w:r>
          </w:p>
          <w:p w14:paraId="3F67C5AC" w14:textId="62A87130" w:rsidR="005E2033" w:rsidRDefault="005E2033" w:rsidP="005E2033">
            <w:pPr>
              <w:jc w:val="center"/>
              <w:rPr>
                <w:b/>
                <w:sz w:val="28"/>
                <w:szCs w:val="28"/>
              </w:rPr>
            </w:pPr>
            <w:r w:rsidRPr="005E2033">
              <w:rPr>
                <w:b/>
                <w:sz w:val="28"/>
                <w:szCs w:val="28"/>
              </w:rPr>
              <w:t>AS AMENDED</w:t>
            </w:r>
          </w:p>
        </w:tc>
        <w:tc>
          <w:tcPr>
            <w:tcW w:w="3353" w:type="dxa"/>
            <w:shd w:val="clear" w:color="auto" w:fill="auto"/>
          </w:tcPr>
          <w:p w14:paraId="0B172ABC" w14:textId="501F9B66" w:rsidR="0003391E" w:rsidRDefault="00C13677" w:rsidP="00471718">
            <w:pPr>
              <w:jc w:val="center"/>
              <w:rPr>
                <w:rFonts w:cstheme="minorHAnsi"/>
                <w:b/>
              </w:rPr>
            </w:pPr>
            <w:r>
              <w:rPr>
                <w:rFonts w:cstheme="minorHAnsi"/>
                <w:b/>
              </w:rPr>
              <w:t>SENT TO GOVERNOR</w:t>
            </w:r>
          </w:p>
        </w:tc>
      </w:tr>
      <w:tr w:rsidR="0003391E" w:rsidRPr="008053E4" w14:paraId="347C0154" w14:textId="77777777" w:rsidTr="0069444C">
        <w:tc>
          <w:tcPr>
            <w:tcW w:w="1861" w:type="dxa"/>
            <w:shd w:val="clear" w:color="auto" w:fill="auto"/>
          </w:tcPr>
          <w:p w14:paraId="232EF0CC" w14:textId="77777777" w:rsidR="0003391E" w:rsidRDefault="00AB3D6F" w:rsidP="00307DCA">
            <w:pPr>
              <w:jc w:val="center"/>
              <w:rPr>
                <w:rStyle w:val="Hyperlink"/>
              </w:rPr>
            </w:pPr>
            <w:hyperlink r:id="rId38" w:history="1">
              <w:r w:rsidR="0003391E" w:rsidRPr="00C01B42">
                <w:rPr>
                  <w:rStyle w:val="Hyperlink"/>
                </w:rPr>
                <w:t xml:space="preserve">SB 1096 </w:t>
              </w:r>
              <w:r w:rsidR="0003391E">
                <w:rPr>
                  <w:rStyle w:val="Hyperlink"/>
                </w:rPr>
                <w:t>–</w:t>
              </w:r>
              <w:r w:rsidR="0003391E" w:rsidRPr="00C01B42">
                <w:rPr>
                  <w:rStyle w:val="Hyperlink"/>
                </w:rPr>
                <w:t xml:space="preserve"> SA#1</w:t>
              </w:r>
            </w:hyperlink>
            <w:r w:rsidR="0003391E">
              <w:rPr>
                <w:rStyle w:val="Hyperlink"/>
              </w:rPr>
              <w:t xml:space="preserve"> (</w:t>
            </w:r>
            <w:proofErr w:type="spellStart"/>
            <w:r w:rsidR="0003391E">
              <w:rPr>
                <w:rStyle w:val="Hyperlink"/>
              </w:rPr>
              <w:t>Gilespie</w:t>
            </w:r>
            <w:proofErr w:type="spellEnd"/>
            <w:r w:rsidR="0003391E">
              <w:rPr>
                <w:rStyle w:val="Hyperlink"/>
              </w:rPr>
              <w:t>)</w:t>
            </w:r>
          </w:p>
          <w:p w14:paraId="22E4E88F" w14:textId="5AD87E6D" w:rsidR="0003391E" w:rsidRDefault="0003391E" w:rsidP="00307DCA">
            <w:pPr>
              <w:jc w:val="center"/>
            </w:pPr>
            <w:r>
              <w:rPr>
                <w:rStyle w:val="Hyperlink"/>
              </w:rPr>
              <w:t xml:space="preserve"> (G. Harris)</w:t>
            </w:r>
          </w:p>
        </w:tc>
        <w:tc>
          <w:tcPr>
            <w:tcW w:w="6781" w:type="dxa"/>
            <w:shd w:val="clear" w:color="auto" w:fill="auto"/>
          </w:tcPr>
          <w:p w14:paraId="75F76CBE" w14:textId="20308282" w:rsidR="0003391E" w:rsidRPr="00885D7C" w:rsidRDefault="0003391E" w:rsidP="00307DCA">
            <w:pPr>
              <w:rPr>
                <w:rFonts w:cstheme="minorHAnsi"/>
              </w:rPr>
            </w:pPr>
            <w:r w:rsidRPr="00885D7C">
              <w:rPr>
                <w:rFonts w:cstheme="minorHAnsi"/>
                <w:color w:val="000000"/>
              </w:rPr>
              <w:t>As amended</w:t>
            </w:r>
            <w:r w:rsidR="00885D7C" w:rsidRPr="00885D7C">
              <w:rPr>
                <w:rFonts w:cstheme="minorHAnsi"/>
                <w:color w:val="000000"/>
              </w:rPr>
              <w:t>, mandates coverage</w:t>
            </w:r>
            <w:r w:rsidRPr="00885D7C">
              <w:rPr>
                <w:rFonts w:cstheme="minorHAnsi"/>
              </w:rPr>
              <w:t xml:space="preserve"> of diagnostic testing for enrollees that is performed by a testing provider in accordance with specified federal and State COVID-19 testing requirements, and that diagnostic testing for enrollees shall be considered medically necessary. Provides that a health plan may inquire as to whether an enrollee is an employee of the long-term care facility but shall not require further evidence or verification of the enrollee’s employment status. Provides that the coverage requirements set forth in the provisions shall only apply when specified federal and State testing requirements are in effect.</w:t>
            </w:r>
            <w:r w:rsidR="00885D7C" w:rsidRPr="00885D7C">
              <w:rPr>
                <w:rFonts w:cstheme="minorHAnsi"/>
              </w:rPr>
              <w:t xml:space="preserve"> The provisions sunset on </w:t>
            </w:r>
            <w:r w:rsidRPr="00885D7C">
              <w:rPr>
                <w:rFonts w:cstheme="minorHAnsi"/>
              </w:rPr>
              <w:t xml:space="preserve">January 1, 2022. </w:t>
            </w:r>
          </w:p>
          <w:p w14:paraId="42BA6ED2" w14:textId="3013AF75" w:rsidR="0003391E" w:rsidRPr="0046199A" w:rsidRDefault="0003391E" w:rsidP="00307DCA">
            <w:pPr>
              <w:rPr>
                <w:rFonts w:cstheme="minorHAnsi"/>
                <w:bCs/>
                <w:i/>
                <w:iCs/>
                <w:color w:val="000000"/>
                <w:shd w:val="clear" w:color="auto" w:fill="FFFFFF"/>
              </w:rPr>
            </w:pPr>
            <w:r w:rsidRPr="003F79BD">
              <w:rPr>
                <w:rFonts w:cstheme="minorHAnsi"/>
                <w:b/>
                <w:bCs/>
                <w:i/>
                <w:iCs/>
                <w:highlight w:val="yellow"/>
              </w:rPr>
              <w:t>Effective Immediately</w:t>
            </w:r>
          </w:p>
        </w:tc>
        <w:tc>
          <w:tcPr>
            <w:tcW w:w="2490" w:type="dxa"/>
            <w:shd w:val="clear" w:color="auto" w:fill="auto"/>
          </w:tcPr>
          <w:p w14:paraId="7E3EEDD9" w14:textId="77777777" w:rsidR="0003391E" w:rsidRDefault="0003391E" w:rsidP="00307DCA">
            <w:pPr>
              <w:jc w:val="center"/>
              <w:rPr>
                <w:b/>
                <w:sz w:val="28"/>
                <w:szCs w:val="28"/>
              </w:rPr>
            </w:pPr>
            <w:r>
              <w:rPr>
                <w:b/>
                <w:sz w:val="28"/>
                <w:szCs w:val="28"/>
              </w:rPr>
              <w:t xml:space="preserve">NEUTRAL </w:t>
            </w:r>
          </w:p>
          <w:p w14:paraId="053A42F6" w14:textId="24C722A8" w:rsidR="0003391E" w:rsidRDefault="00885D7C" w:rsidP="00885D7C">
            <w:pPr>
              <w:jc w:val="center"/>
              <w:rPr>
                <w:b/>
                <w:sz w:val="28"/>
                <w:szCs w:val="28"/>
              </w:rPr>
            </w:pPr>
            <w:r>
              <w:rPr>
                <w:b/>
                <w:sz w:val="28"/>
                <w:szCs w:val="28"/>
              </w:rPr>
              <w:t>AS AMENDED</w:t>
            </w:r>
          </w:p>
        </w:tc>
        <w:tc>
          <w:tcPr>
            <w:tcW w:w="3353" w:type="dxa"/>
            <w:shd w:val="clear" w:color="auto" w:fill="auto"/>
          </w:tcPr>
          <w:p w14:paraId="27279496" w14:textId="01CDE168" w:rsidR="0003391E" w:rsidRDefault="003F79BD" w:rsidP="00A61E0D">
            <w:pPr>
              <w:jc w:val="center"/>
              <w:rPr>
                <w:rFonts w:cstheme="minorHAnsi"/>
                <w:b/>
              </w:rPr>
            </w:pPr>
            <w:r>
              <w:rPr>
                <w:rFonts w:cstheme="minorHAnsi"/>
                <w:b/>
              </w:rPr>
              <w:t xml:space="preserve">SIGNED BY </w:t>
            </w:r>
            <w:r w:rsidR="00056E78">
              <w:rPr>
                <w:rFonts w:cstheme="minorHAnsi"/>
                <w:b/>
              </w:rPr>
              <w:t>GOVERNOR</w:t>
            </w:r>
          </w:p>
        </w:tc>
      </w:tr>
      <w:tr w:rsidR="0003391E" w:rsidRPr="008053E4" w14:paraId="737BD6B4" w14:textId="77777777" w:rsidTr="0069444C">
        <w:tc>
          <w:tcPr>
            <w:tcW w:w="1861" w:type="dxa"/>
            <w:shd w:val="clear" w:color="auto" w:fill="auto"/>
          </w:tcPr>
          <w:p w14:paraId="6DB92BB2" w14:textId="257D6F21" w:rsidR="0003391E" w:rsidRDefault="00AB3D6F" w:rsidP="00307DCA">
            <w:pPr>
              <w:jc w:val="center"/>
            </w:pPr>
            <w:hyperlink r:id="rId39" w:history="1">
              <w:r w:rsidR="0003391E">
                <w:rPr>
                  <w:rStyle w:val="Hyperlink"/>
                </w:rPr>
                <w:t>SB 1588 (Fine)</w:t>
              </w:r>
            </w:hyperlink>
            <w:r w:rsidR="0003391E">
              <w:rPr>
                <w:rStyle w:val="Hyperlink"/>
              </w:rPr>
              <w:t xml:space="preserve"> (DeLuca)</w:t>
            </w:r>
          </w:p>
        </w:tc>
        <w:tc>
          <w:tcPr>
            <w:tcW w:w="6781" w:type="dxa"/>
            <w:shd w:val="clear" w:color="auto" w:fill="auto"/>
          </w:tcPr>
          <w:p w14:paraId="5C437AE9" w14:textId="708DAB65" w:rsidR="0003391E" w:rsidRPr="00255EEA" w:rsidRDefault="0003391E" w:rsidP="0060364C">
            <w:pPr>
              <w:rPr>
                <w:rFonts w:eastAsia="Times New Roman" w:cstheme="minorHAnsi"/>
              </w:rPr>
            </w:pPr>
            <w:r w:rsidRPr="00255EEA">
              <w:rPr>
                <w:rFonts w:eastAsia="Times New Roman" w:cstheme="minorHAnsi"/>
              </w:rPr>
              <w:t>As amended</w:t>
            </w:r>
            <w:r w:rsidR="00255EEA" w:rsidRPr="00255EEA">
              <w:rPr>
                <w:rFonts w:eastAsia="Times New Roman" w:cstheme="minorHAnsi"/>
              </w:rPr>
              <w:t xml:space="preserve">, </w:t>
            </w:r>
            <w:r w:rsidR="00255EEA">
              <w:rPr>
                <w:rFonts w:eastAsia="Times New Roman" w:cstheme="minorHAnsi"/>
              </w:rPr>
              <w:t>p</w:t>
            </w:r>
            <w:r w:rsidRPr="00255EEA">
              <w:rPr>
                <w:rFonts w:eastAsia="Times New Roman" w:cstheme="minorHAnsi"/>
              </w:rPr>
              <w:t xml:space="preserve">rovides that the Director of Insurance may issue producer licenses and limited lines producer licenses. Provides that each travel insurance business entity shall pay the Department of Insurance a fee of $500 for its initial license and $500 for each renewal license, payable on May 31 annually.   </w:t>
            </w:r>
          </w:p>
          <w:p w14:paraId="73CE366F" w14:textId="23CF265F" w:rsidR="0003391E" w:rsidRPr="00E86754" w:rsidRDefault="0003391E" w:rsidP="00CE0C93">
            <w:pPr>
              <w:rPr>
                <w:rFonts w:cstheme="minorHAnsi"/>
                <w:color w:val="FF0000"/>
                <w:u w:val="single"/>
              </w:rPr>
            </w:pPr>
            <w:r w:rsidRPr="0046199A">
              <w:rPr>
                <w:rFonts w:eastAsia="Times New Roman" w:cstheme="minorHAnsi"/>
                <w:b/>
                <w:bCs/>
                <w:i/>
                <w:iCs/>
              </w:rPr>
              <w:t>Effective Immediately</w:t>
            </w:r>
          </w:p>
        </w:tc>
        <w:tc>
          <w:tcPr>
            <w:tcW w:w="2490" w:type="dxa"/>
            <w:shd w:val="clear" w:color="auto" w:fill="auto"/>
          </w:tcPr>
          <w:p w14:paraId="5CFFC94D" w14:textId="77777777" w:rsidR="0003391E" w:rsidRDefault="0003391E" w:rsidP="00307DCA">
            <w:pPr>
              <w:jc w:val="center"/>
              <w:rPr>
                <w:b/>
                <w:sz w:val="28"/>
                <w:szCs w:val="28"/>
              </w:rPr>
            </w:pPr>
            <w:r>
              <w:rPr>
                <w:b/>
                <w:sz w:val="28"/>
                <w:szCs w:val="28"/>
              </w:rPr>
              <w:t>MONITOR</w:t>
            </w:r>
          </w:p>
          <w:p w14:paraId="490B3A62" w14:textId="6BDC6F2E" w:rsidR="0003391E" w:rsidRDefault="0003391E" w:rsidP="00D91082">
            <w:pPr>
              <w:jc w:val="center"/>
              <w:rPr>
                <w:b/>
                <w:sz w:val="28"/>
                <w:szCs w:val="28"/>
              </w:rPr>
            </w:pPr>
          </w:p>
        </w:tc>
        <w:tc>
          <w:tcPr>
            <w:tcW w:w="3353" w:type="dxa"/>
            <w:shd w:val="clear" w:color="auto" w:fill="auto"/>
          </w:tcPr>
          <w:p w14:paraId="4ECB9765" w14:textId="059365C8" w:rsidR="0003391E" w:rsidRDefault="00C13677" w:rsidP="00307DCA">
            <w:pPr>
              <w:jc w:val="center"/>
              <w:rPr>
                <w:rFonts w:cstheme="minorHAnsi"/>
                <w:b/>
              </w:rPr>
            </w:pPr>
            <w:r>
              <w:rPr>
                <w:rFonts w:cstheme="minorHAnsi"/>
                <w:b/>
              </w:rPr>
              <w:t>SENT TO GOVERNOR</w:t>
            </w:r>
          </w:p>
        </w:tc>
      </w:tr>
      <w:tr w:rsidR="0003391E" w:rsidRPr="008053E4" w14:paraId="0619F5EF" w14:textId="77777777" w:rsidTr="0069444C">
        <w:tc>
          <w:tcPr>
            <w:tcW w:w="1861" w:type="dxa"/>
            <w:shd w:val="clear" w:color="auto" w:fill="auto"/>
          </w:tcPr>
          <w:p w14:paraId="269C105F" w14:textId="77777777" w:rsidR="0003391E" w:rsidRDefault="00AB3D6F" w:rsidP="00307DCA">
            <w:pPr>
              <w:jc w:val="center"/>
              <w:rPr>
                <w:rStyle w:val="Hyperlink"/>
              </w:rPr>
            </w:pPr>
            <w:hyperlink r:id="rId40" w:history="1">
              <w:r w:rsidR="0003391E">
                <w:rPr>
                  <w:rStyle w:val="Hyperlink"/>
                </w:rPr>
                <w:t>SB 1592 (Fine)</w:t>
              </w:r>
            </w:hyperlink>
          </w:p>
          <w:p w14:paraId="14E83809" w14:textId="4C2CDF75" w:rsidR="0003391E" w:rsidRDefault="0003391E" w:rsidP="00307DCA">
            <w:pPr>
              <w:jc w:val="center"/>
            </w:pPr>
            <w:r>
              <w:rPr>
                <w:rStyle w:val="Hyperlink"/>
              </w:rPr>
              <w:t>(Welter)</w:t>
            </w:r>
          </w:p>
        </w:tc>
        <w:tc>
          <w:tcPr>
            <w:tcW w:w="6781" w:type="dxa"/>
            <w:shd w:val="clear" w:color="auto" w:fill="auto"/>
          </w:tcPr>
          <w:p w14:paraId="48FDCD99" w14:textId="27687B27" w:rsidR="0003391E" w:rsidRPr="00EF721E" w:rsidRDefault="00EF721E" w:rsidP="00E22EB9">
            <w:r>
              <w:t xml:space="preserve">As </w:t>
            </w:r>
            <w:r w:rsidR="003E55CC">
              <w:t>a</w:t>
            </w:r>
            <w:r>
              <w:t>mended, i</w:t>
            </w:r>
            <w:r w:rsidR="0003391E" w:rsidRPr="00EF721E">
              <w:t xml:space="preserve">n provisions regarding coverage for individuals under the of 21 with a diagnosis of autism spectrum disorders, prohibits a health insurance carrier from </w:t>
            </w:r>
            <w:r w:rsidR="00477F84" w:rsidRPr="00EF721E">
              <w:rPr>
                <w:rFonts w:eastAsia="Times New Roman" w:cstheme="minorHAnsi"/>
              </w:rPr>
              <w:t>denying or refusing to provide otherwise covered services under a group or individual policy of accident and health insurance or a managed care plan solely because of the location wherein the clinically appropriate services are provided</w:t>
            </w:r>
            <w:r w:rsidR="00477F84" w:rsidRPr="00EF721E">
              <w:rPr>
                <w:rFonts w:ascii="Arial" w:eastAsia="Times New Roman" w:hAnsi="Arial" w:cs="Arial"/>
                <w:sz w:val="18"/>
                <w:szCs w:val="18"/>
              </w:rPr>
              <w:t>.”</w:t>
            </w:r>
          </w:p>
          <w:p w14:paraId="2BBA7A67" w14:textId="30C9ACD3" w:rsidR="0003391E" w:rsidRDefault="0003391E" w:rsidP="00307DCA">
            <w:r w:rsidRPr="00E06900">
              <w:rPr>
                <w:rStyle w:val="HTMLCode"/>
                <w:rFonts w:asciiTheme="minorHAnsi" w:eastAsiaTheme="minorHAnsi" w:hAnsiTheme="minorHAnsi" w:cstheme="minorHAnsi"/>
                <w:b/>
                <w:bCs/>
                <w:i/>
                <w:iCs/>
                <w:color w:val="000000"/>
                <w:sz w:val="22"/>
                <w:szCs w:val="22"/>
                <w:shd w:val="clear" w:color="auto" w:fill="FFFFFF"/>
              </w:rPr>
              <w:t>Effective January 1, 2022</w:t>
            </w:r>
          </w:p>
        </w:tc>
        <w:tc>
          <w:tcPr>
            <w:tcW w:w="2490" w:type="dxa"/>
            <w:shd w:val="clear" w:color="auto" w:fill="auto"/>
          </w:tcPr>
          <w:p w14:paraId="18B38B3C" w14:textId="77777777" w:rsidR="0003391E" w:rsidRPr="00893438" w:rsidRDefault="0003391E" w:rsidP="00307DCA">
            <w:pPr>
              <w:jc w:val="center"/>
              <w:rPr>
                <w:b/>
                <w:sz w:val="28"/>
                <w:szCs w:val="28"/>
              </w:rPr>
            </w:pPr>
            <w:r w:rsidRPr="00893438">
              <w:rPr>
                <w:b/>
                <w:sz w:val="28"/>
                <w:szCs w:val="28"/>
              </w:rPr>
              <w:t>NEUTRAL</w:t>
            </w:r>
          </w:p>
          <w:p w14:paraId="23BF70EC" w14:textId="69D53771" w:rsidR="0003391E" w:rsidRPr="0048024C" w:rsidRDefault="003E55CC" w:rsidP="0048024C">
            <w:pPr>
              <w:jc w:val="center"/>
            </w:pPr>
            <w:r>
              <w:rPr>
                <w:b/>
                <w:sz w:val="28"/>
                <w:szCs w:val="28"/>
              </w:rPr>
              <w:t>AS AMENDED</w:t>
            </w:r>
          </w:p>
          <w:p w14:paraId="2BF67FAF" w14:textId="43F7E907" w:rsidR="0003391E" w:rsidRDefault="0003391E" w:rsidP="00AF01B9">
            <w:pPr>
              <w:jc w:val="center"/>
              <w:rPr>
                <w:b/>
                <w:sz w:val="28"/>
                <w:szCs w:val="28"/>
              </w:rPr>
            </w:pPr>
          </w:p>
        </w:tc>
        <w:tc>
          <w:tcPr>
            <w:tcW w:w="3353" w:type="dxa"/>
            <w:shd w:val="clear" w:color="auto" w:fill="auto"/>
          </w:tcPr>
          <w:p w14:paraId="2A8D343E" w14:textId="5A26CCE3" w:rsidR="0003391E" w:rsidRDefault="00C13677" w:rsidP="00307DCA">
            <w:pPr>
              <w:jc w:val="center"/>
              <w:rPr>
                <w:rFonts w:cstheme="minorHAnsi"/>
                <w:b/>
              </w:rPr>
            </w:pPr>
            <w:r>
              <w:rPr>
                <w:rFonts w:cstheme="minorHAnsi"/>
                <w:b/>
              </w:rPr>
              <w:t>SENT TO GOVERNOR</w:t>
            </w:r>
          </w:p>
        </w:tc>
      </w:tr>
      <w:tr w:rsidR="0003391E" w:rsidRPr="008053E4" w14:paraId="5AB1226A" w14:textId="77777777" w:rsidTr="0069444C">
        <w:tc>
          <w:tcPr>
            <w:tcW w:w="1861" w:type="dxa"/>
            <w:shd w:val="clear" w:color="auto" w:fill="auto"/>
          </w:tcPr>
          <w:p w14:paraId="70D14250" w14:textId="77777777" w:rsidR="0003391E" w:rsidRDefault="00AB3D6F" w:rsidP="00307DCA">
            <w:pPr>
              <w:jc w:val="center"/>
              <w:rPr>
                <w:rStyle w:val="Hyperlink"/>
              </w:rPr>
            </w:pPr>
            <w:hyperlink r:id="rId41" w:history="1">
              <w:r w:rsidR="0003391E">
                <w:rPr>
                  <w:rStyle w:val="Hyperlink"/>
                </w:rPr>
                <w:t>SB 1682 (Bennett)</w:t>
              </w:r>
            </w:hyperlink>
          </w:p>
          <w:p w14:paraId="26E9F851" w14:textId="77777777" w:rsidR="0003391E" w:rsidRDefault="0003391E" w:rsidP="00307DCA">
            <w:pPr>
              <w:jc w:val="center"/>
              <w:rPr>
                <w:rStyle w:val="Hyperlink"/>
              </w:rPr>
            </w:pPr>
            <w:r>
              <w:rPr>
                <w:rStyle w:val="Hyperlink"/>
              </w:rPr>
              <w:t>(Avelar)</w:t>
            </w:r>
          </w:p>
          <w:p w14:paraId="03462183" w14:textId="698A1194" w:rsidR="0003391E" w:rsidRDefault="0003391E" w:rsidP="00307DCA">
            <w:pPr>
              <w:jc w:val="center"/>
            </w:pPr>
          </w:p>
        </w:tc>
        <w:tc>
          <w:tcPr>
            <w:tcW w:w="6781" w:type="dxa"/>
            <w:shd w:val="clear" w:color="auto" w:fill="auto"/>
          </w:tcPr>
          <w:p w14:paraId="76AD8F9A" w14:textId="37C02265" w:rsidR="0003391E" w:rsidRDefault="0003391E" w:rsidP="00307DCA">
            <w:r>
              <w:rPr>
                <w:rFonts w:cstheme="minorHAnsi"/>
              </w:rPr>
              <w:t>Pharmacy retail price disclosure</w:t>
            </w:r>
            <w:r w:rsidR="00340A70">
              <w:rPr>
                <w:rFonts w:cstheme="minorHAnsi"/>
              </w:rPr>
              <w:t>.</w:t>
            </w:r>
          </w:p>
          <w:p w14:paraId="34805C7B" w14:textId="7B6AFCA8" w:rsidR="0003391E" w:rsidRPr="0083094E" w:rsidRDefault="0003391E" w:rsidP="00CE0C93">
            <w:pPr>
              <w:rPr>
                <w:rStyle w:val="HTMLCode"/>
                <w:rFonts w:asciiTheme="minorHAnsi" w:eastAsiaTheme="minorHAnsi" w:hAnsiTheme="minorHAnsi" w:cstheme="minorHAnsi"/>
                <w:b/>
                <w:bCs/>
                <w:color w:val="000000"/>
                <w:sz w:val="22"/>
                <w:szCs w:val="22"/>
                <w:shd w:val="clear" w:color="auto" w:fill="FFFFFF"/>
              </w:rPr>
            </w:pPr>
            <w:r w:rsidRPr="00E06900">
              <w:rPr>
                <w:rStyle w:val="HTMLCode"/>
                <w:rFonts w:asciiTheme="minorHAnsi" w:eastAsiaTheme="minorHAnsi" w:hAnsiTheme="minorHAnsi" w:cstheme="minorHAnsi"/>
                <w:b/>
                <w:bCs/>
                <w:i/>
                <w:iCs/>
                <w:color w:val="000000"/>
                <w:sz w:val="22"/>
                <w:szCs w:val="22"/>
                <w:shd w:val="clear" w:color="auto" w:fill="FFFFFF"/>
              </w:rPr>
              <w:t>Effective January 1, 2022</w:t>
            </w:r>
          </w:p>
        </w:tc>
        <w:tc>
          <w:tcPr>
            <w:tcW w:w="2490" w:type="dxa"/>
            <w:shd w:val="clear" w:color="auto" w:fill="auto"/>
          </w:tcPr>
          <w:p w14:paraId="3B68B5E0" w14:textId="526BA0A8" w:rsidR="0003391E" w:rsidRDefault="0003391E" w:rsidP="00307DCA">
            <w:pPr>
              <w:jc w:val="center"/>
              <w:rPr>
                <w:b/>
                <w:sz w:val="28"/>
                <w:szCs w:val="28"/>
              </w:rPr>
            </w:pPr>
            <w:r>
              <w:rPr>
                <w:b/>
                <w:sz w:val="28"/>
                <w:szCs w:val="28"/>
              </w:rPr>
              <w:t>MONITOR</w:t>
            </w:r>
          </w:p>
        </w:tc>
        <w:tc>
          <w:tcPr>
            <w:tcW w:w="3353" w:type="dxa"/>
            <w:shd w:val="clear" w:color="auto" w:fill="auto"/>
          </w:tcPr>
          <w:p w14:paraId="3B161F07" w14:textId="67716A7F" w:rsidR="0003391E" w:rsidRDefault="00056E78" w:rsidP="00307DCA">
            <w:pPr>
              <w:jc w:val="center"/>
              <w:rPr>
                <w:rFonts w:cstheme="minorHAnsi"/>
                <w:b/>
              </w:rPr>
            </w:pPr>
            <w:r>
              <w:rPr>
                <w:rFonts w:cstheme="minorHAnsi"/>
                <w:b/>
              </w:rPr>
              <w:t>SENT TO GOVERNOR</w:t>
            </w:r>
          </w:p>
        </w:tc>
      </w:tr>
      <w:tr w:rsidR="009369F7" w:rsidRPr="008053E4" w14:paraId="5219F37E" w14:textId="77777777" w:rsidTr="0069444C">
        <w:tc>
          <w:tcPr>
            <w:tcW w:w="1861" w:type="dxa"/>
            <w:shd w:val="clear" w:color="auto" w:fill="auto"/>
          </w:tcPr>
          <w:p w14:paraId="45176843" w14:textId="0FABEA26" w:rsidR="009369F7" w:rsidRDefault="00AB3D6F" w:rsidP="00307DCA">
            <w:pPr>
              <w:jc w:val="center"/>
            </w:pPr>
            <w:hyperlink r:id="rId42" w:history="1">
              <w:r w:rsidR="009369F7">
                <w:rPr>
                  <w:rStyle w:val="Hyperlink"/>
                </w:rPr>
                <w:t>SB 1847 (Hunter/Harper)</w:t>
              </w:r>
            </w:hyperlink>
          </w:p>
          <w:p w14:paraId="7D70ED63" w14:textId="7D230F85" w:rsidR="009369F7" w:rsidRDefault="009369F7" w:rsidP="00307DCA">
            <w:pPr>
              <w:jc w:val="center"/>
            </w:pPr>
          </w:p>
        </w:tc>
        <w:tc>
          <w:tcPr>
            <w:tcW w:w="6781" w:type="dxa"/>
            <w:shd w:val="clear" w:color="auto" w:fill="auto"/>
          </w:tcPr>
          <w:p w14:paraId="20FBB8A0" w14:textId="613C81B2" w:rsidR="004D62F1" w:rsidRDefault="004D62F1" w:rsidP="004D62F1">
            <w:pPr>
              <w:shd w:val="clear" w:color="auto" w:fill="FFFFFF"/>
            </w:pPr>
            <w:r>
              <w:t xml:space="preserve">Clean up provisions to the Equal Pay Certificate requirements enacted under </w:t>
            </w:r>
            <w:hyperlink r:id="rId43" w:history="1">
              <w:r>
                <w:rPr>
                  <w:rStyle w:val="Hyperlink"/>
                  <w:rFonts w:eastAsia="Times New Roman" w:cstheme="minorHAnsi"/>
                </w:rPr>
                <w:t>P.A. 101-0656</w:t>
              </w:r>
            </w:hyperlink>
            <w:r>
              <w:rPr>
                <w:rFonts w:eastAsia="Times New Roman" w:cstheme="minorHAnsi"/>
                <w:color w:val="222222"/>
              </w:rPr>
              <w:t xml:space="preserve"> to delay</w:t>
            </w:r>
            <w:r>
              <w:t xml:space="preserve"> the implementation of the provisions to allow impacted employers time to comply with the law.  Covered businesses as of March 23, </w:t>
            </w:r>
            <w:proofErr w:type="gramStart"/>
            <w:r>
              <w:t>2021</w:t>
            </w:r>
            <w:proofErr w:type="gramEnd"/>
            <w:r>
              <w:t xml:space="preserve"> will be required to obtain an equal pay certificate between March 24, 2022 and March 23, 2024 and must recertify every 2 years thereafter.  For those covered businesses after March 23, 2021, an equal pay certificate must be completed within 3 years of business operation but no later than January 1, 2024.  </w:t>
            </w:r>
          </w:p>
          <w:p w14:paraId="73E6964F" w14:textId="77777777" w:rsidR="004D62F1" w:rsidRDefault="004D62F1" w:rsidP="004D62F1">
            <w:pPr>
              <w:shd w:val="clear" w:color="auto" w:fill="FFFFFF"/>
            </w:pPr>
          </w:p>
          <w:p w14:paraId="6778E4C5" w14:textId="69486F57" w:rsidR="004D62F1" w:rsidRDefault="004D62F1" w:rsidP="004D62F1">
            <w:pPr>
              <w:shd w:val="clear" w:color="auto" w:fill="FFFFFF"/>
            </w:pPr>
            <w:r>
              <w:t>The provisions also clarify information required to be included in the equal pay compliance statement, as well as provide employers an opportunity to cure any deficiencies in the statement.  Additionally, data submitted to the Department protects individually identifiable information.  Finally, penalties associated with non-compliance set forth in the original law allowed the Department of Labor to impose a penalty of up to 1% of “gross profits.” Those penalties have since been aligned with existing civil penalties within the Department’s existing authority, as well as revocation or suspension of the certificate.</w:t>
            </w:r>
          </w:p>
          <w:p w14:paraId="704FD910" w14:textId="51E95492" w:rsidR="009369F7" w:rsidRPr="0097602D" w:rsidRDefault="0097602D" w:rsidP="00307DCA">
            <w:pPr>
              <w:rPr>
                <w:rFonts w:cstheme="minorHAnsi"/>
                <w:b/>
                <w:bCs/>
                <w:i/>
                <w:iCs/>
              </w:rPr>
            </w:pPr>
            <w:r w:rsidRPr="003F79BD">
              <w:rPr>
                <w:rFonts w:cstheme="minorHAnsi"/>
                <w:b/>
                <w:bCs/>
                <w:i/>
                <w:iCs/>
                <w:highlight w:val="yellow"/>
              </w:rPr>
              <w:t>Effective Immediately</w:t>
            </w:r>
          </w:p>
        </w:tc>
        <w:tc>
          <w:tcPr>
            <w:tcW w:w="2490" w:type="dxa"/>
            <w:shd w:val="clear" w:color="auto" w:fill="auto"/>
          </w:tcPr>
          <w:p w14:paraId="42471C72" w14:textId="62057BB2" w:rsidR="009369F7" w:rsidRDefault="0097602D" w:rsidP="00307DCA">
            <w:pPr>
              <w:jc w:val="center"/>
              <w:rPr>
                <w:b/>
                <w:sz w:val="28"/>
                <w:szCs w:val="28"/>
              </w:rPr>
            </w:pPr>
            <w:r>
              <w:rPr>
                <w:b/>
                <w:sz w:val="28"/>
                <w:szCs w:val="28"/>
              </w:rPr>
              <w:t>MONITOR</w:t>
            </w:r>
          </w:p>
        </w:tc>
        <w:tc>
          <w:tcPr>
            <w:tcW w:w="3353" w:type="dxa"/>
            <w:shd w:val="clear" w:color="auto" w:fill="auto"/>
          </w:tcPr>
          <w:p w14:paraId="3D1B0EF7" w14:textId="5DA496E4" w:rsidR="009369F7" w:rsidRDefault="003F79BD" w:rsidP="00307DCA">
            <w:pPr>
              <w:jc w:val="center"/>
              <w:rPr>
                <w:rFonts w:cstheme="minorHAnsi"/>
                <w:b/>
              </w:rPr>
            </w:pPr>
            <w:r>
              <w:rPr>
                <w:rFonts w:cstheme="minorHAnsi"/>
                <w:b/>
              </w:rPr>
              <w:t>SIGNED BY</w:t>
            </w:r>
            <w:r w:rsidR="00CE1A47">
              <w:rPr>
                <w:rFonts w:cstheme="minorHAnsi"/>
                <w:b/>
              </w:rPr>
              <w:t xml:space="preserve"> GOVERNOR</w:t>
            </w:r>
          </w:p>
        </w:tc>
      </w:tr>
      <w:tr w:rsidR="0003391E" w:rsidRPr="008053E4" w14:paraId="3D2B1865" w14:textId="77777777" w:rsidTr="0069444C">
        <w:tc>
          <w:tcPr>
            <w:tcW w:w="1861" w:type="dxa"/>
            <w:shd w:val="clear" w:color="auto" w:fill="auto"/>
          </w:tcPr>
          <w:p w14:paraId="790B0449" w14:textId="2C860BDB" w:rsidR="0003391E" w:rsidRDefault="00AB3D6F" w:rsidP="00307DCA">
            <w:pPr>
              <w:jc w:val="center"/>
            </w:pPr>
            <w:hyperlink r:id="rId44" w:history="1">
              <w:r w:rsidR="0003391E">
                <w:rPr>
                  <w:rStyle w:val="Hyperlink"/>
                </w:rPr>
                <w:t>SB 1854 (Ellman)</w:t>
              </w:r>
            </w:hyperlink>
            <w:r w:rsidR="0003391E">
              <w:rPr>
                <w:rStyle w:val="Hyperlink"/>
              </w:rPr>
              <w:t xml:space="preserve"> (Rohr)</w:t>
            </w:r>
          </w:p>
        </w:tc>
        <w:tc>
          <w:tcPr>
            <w:tcW w:w="6781" w:type="dxa"/>
            <w:shd w:val="clear" w:color="auto" w:fill="auto"/>
          </w:tcPr>
          <w:p w14:paraId="60D4EF59" w14:textId="77777777" w:rsidR="0003391E" w:rsidRDefault="0003391E" w:rsidP="00307DCA">
            <w:pPr>
              <w:rPr>
                <w:rStyle w:val="HTMLCode"/>
                <w:rFonts w:eastAsiaTheme="minorHAnsi"/>
                <w:color w:val="000000"/>
                <w:shd w:val="clear" w:color="auto" w:fill="FFFFFF"/>
              </w:rPr>
            </w:pPr>
            <w:r>
              <w:rPr>
                <w:rFonts w:cstheme="minorHAnsi"/>
              </w:rPr>
              <w:t xml:space="preserve">Mandates coverage for </w:t>
            </w:r>
            <w:r w:rsidRPr="002B7080">
              <w:rPr>
                <w:rStyle w:val="HTMLCode"/>
                <w:rFonts w:asciiTheme="minorHAnsi" w:eastAsiaTheme="minorHAnsi" w:hAnsiTheme="minorHAnsi" w:cstheme="minorHAnsi"/>
                <w:color w:val="000000"/>
                <w:sz w:val="22"/>
                <w:szCs w:val="22"/>
                <w:shd w:val="clear" w:color="auto" w:fill="FFFFFF"/>
              </w:rPr>
              <w:t xml:space="preserve">A1C testing recommended by a health care provider for prediabetes, type 1 diabetes, and type 2 diabetes in accordance with prediabetes and diabetes risk factors identified by </w:t>
            </w:r>
            <w:r>
              <w:rPr>
                <w:rStyle w:val="HTMLCode"/>
                <w:rFonts w:asciiTheme="minorHAnsi" w:eastAsiaTheme="minorHAnsi" w:hAnsiTheme="minorHAnsi" w:cstheme="minorHAnsi"/>
                <w:color w:val="000000"/>
                <w:sz w:val="22"/>
                <w:szCs w:val="22"/>
                <w:shd w:val="clear" w:color="auto" w:fill="FFFFFF"/>
              </w:rPr>
              <w:t xml:space="preserve">the CDC and coverage for </w:t>
            </w:r>
            <w:r w:rsidRPr="002B7080">
              <w:rPr>
                <w:rStyle w:val="HTMLCode"/>
                <w:rFonts w:asciiTheme="minorHAnsi" w:eastAsiaTheme="minorHAnsi" w:hAnsiTheme="minorHAnsi" w:cstheme="minorHAnsi"/>
                <w:color w:val="000000"/>
                <w:sz w:val="22"/>
                <w:szCs w:val="22"/>
                <w:shd w:val="clear" w:color="auto" w:fill="FFFFFF"/>
              </w:rPr>
              <w:t xml:space="preserve">vitamin D testing recommended by a health care provider in accordance with vitamin D deficiency risk factors identified by </w:t>
            </w:r>
            <w:r>
              <w:rPr>
                <w:rStyle w:val="HTMLCode"/>
                <w:rFonts w:asciiTheme="minorHAnsi" w:eastAsiaTheme="minorHAnsi" w:hAnsiTheme="minorHAnsi" w:cstheme="minorHAnsi"/>
                <w:color w:val="000000"/>
                <w:sz w:val="22"/>
                <w:szCs w:val="22"/>
                <w:shd w:val="clear" w:color="auto" w:fill="FFFFFF"/>
              </w:rPr>
              <w:t>the CDC.</w:t>
            </w:r>
            <w:r>
              <w:rPr>
                <w:rStyle w:val="HTMLCode"/>
                <w:rFonts w:eastAsiaTheme="minorHAnsi"/>
                <w:color w:val="000000"/>
                <w:shd w:val="clear" w:color="auto" w:fill="FFFFFF"/>
              </w:rPr>
              <w:t> </w:t>
            </w:r>
          </w:p>
          <w:p w14:paraId="36B06998" w14:textId="63EF14B4" w:rsidR="0003391E" w:rsidRPr="0083094E" w:rsidRDefault="0003391E" w:rsidP="00CE0C93">
            <w:pPr>
              <w:rPr>
                <w:rFonts w:cstheme="minorHAnsi"/>
                <w:b/>
                <w:bCs/>
                <w:color w:val="000000"/>
                <w:shd w:val="clear" w:color="auto" w:fill="FFFFFF"/>
              </w:rPr>
            </w:pPr>
            <w:r w:rsidRPr="00E06900">
              <w:rPr>
                <w:rStyle w:val="HTMLCode"/>
                <w:rFonts w:asciiTheme="minorHAnsi" w:eastAsiaTheme="minorHAnsi" w:hAnsiTheme="minorHAnsi" w:cstheme="minorHAnsi"/>
                <w:b/>
                <w:bCs/>
                <w:i/>
                <w:iCs/>
                <w:color w:val="000000"/>
                <w:sz w:val="22"/>
                <w:szCs w:val="22"/>
                <w:shd w:val="clear" w:color="auto" w:fill="FFFFFF"/>
              </w:rPr>
              <w:t>Effective January 1, 2022</w:t>
            </w:r>
          </w:p>
        </w:tc>
        <w:tc>
          <w:tcPr>
            <w:tcW w:w="2490" w:type="dxa"/>
            <w:shd w:val="clear" w:color="auto" w:fill="auto"/>
          </w:tcPr>
          <w:p w14:paraId="28CFB679" w14:textId="480650D6" w:rsidR="0003391E" w:rsidRDefault="0003391E" w:rsidP="00307DCA">
            <w:pPr>
              <w:jc w:val="center"/>
              <w:rPr>
                <w:b/>
                <w:sz w:val="28"/>
                <w:szCs w:val="28"/>
              </w:rPr>
            </w:pPr>
            <w:r>
              <w:rPr>
                <w:b/>
                <w:sz w:val="28"/>
                <w:szCs w:val="28"/>
              </w:rPr>
              <w:t>NEUTRAL</w:t>
            </w:r>
          </w:p>
        </w:tc>
        <w:tc>
          <w:tcPr>
            <w:tcW w:w="3353" w:type="dxa"/>
            <w:shd w:val="clear" w:color="auto" w:fill="auto"/>
          </w:tcPr>
          <w:p w14:paraId="43981A05" w14:textId="13DD0BB8" w:rsidR="0003391E" w:rsidRDefault="00C13677" w:rsidP="00307DCA">
            <w:pPr>
              <w:jc w:val="center"/>
              <w:rPr>
                <w:rFonts w:cstheme="minorHAnsi"/>
                <w:b/>
              </w:rPr>
            </w:pPr>
            <w:r>
              <w:rPr>
                <w:rFonts w:cstheme="minorHAnsi"/>
                <w:b/>
              </w:rPr>
              <w:t>SENT TO GOVERNOR</w:t>
            </w:r>
          </w:p>
        </w:tc>
      </w:tr>
      <w:tr w:rsidR="0003391E" w:rsidRPr="008053E4" w14:paraId="631C970A" w14:textId="77777777" w:rsidTr="0069444C">
        <w:tc>
          <w:tcPr>
            <w:tcW w:w="1861" w:type="dxa"/>
            <w:shd w:val="clear" w:color="auto" w:fill="auto"/>
          </w:tcPr>
          <w:p w14:paraId="0CDA1406" w14:textId="77777777" w:rsidR="0003391E" w:rsidRDefault="00AB3D6F" w:rsidP="00307DCA">
            <w:pPr>
              <w:jc w:val="center"/>
              <w:rPr>
                <w:rStyle w:val="Hyperlink"/>
              </w:rPr>
            </w:pPr>
            <w:hyperlink r:id="rId45" w:history="1">
              <w:r w:rsidR="0003391E">
                <w:rPr>
                  <w:rStyle w:val="Hyperlink"/>
                </w:rPr>
                <w:t>SB 1876 (</w:t>
              </w:r>
              <w:proofErr w:type="spellStart"/>
              <w:r w:rsidR="0003391E">
                <w:rPr>
                  <w:rStyle w:val="Hyperlink"/>
                </w:rPr>
                <w:t>Syverson</w:t>
              </w:r>
              <w:proofErr w:type="spellEnd"/>
              <w:r w:rsidR="0003391E">
                <w:rPr>
                  <w:rStyle w:val="Hyperlink"/>
                </w:rPr>
                <w:t>)</w:t>
              </w:r>
            </w:hyperlink>
          </w:p>
          <w:p w14:paraId="1C7CF48D" w14:textId="253EEFCA" w:rsidR="0003391E" w:rsidRDefault="0003391E" w:rsidP="00307DCA">
            <w:pPr>
              <w:jc w:val="center"/>
            </w:pPr>
            <w:r>
              <w:rPr>
                <w:rStyle w:val="Hyperlink"/>
              </w:rPr>
              <w:t>(McCombie)</w:t>
            </w:r>
          </w:p>
        </w:tc>
        <w:tc>
          <w:tcPr>
            <w:tcW w:w="6781" w:type="dxa"/>
            <w:shd w:val="clear" w:color="auto" w:fill="auto"/>
          </w:tcPr>
          <w:p w14:paraId="64BDB752" w14:textId="77777777" w:rsidR="0003391E" w:rsidRDefault="0003391E" w:rsidP="00307DCA">
            <w:pPr>
              <w:rPr>
                <w:rFonts w:cstheme="minorHAnsi"/>
              </w:rPr>
            </w:pPr>
            <w:r>
              <w:rPr>
                <w:rFonts w:cstheme="minorHAnsi"/>
              </w:rPr>
              <w:t xml:space="preserve">Requires policies of group life insurance to contain, if replacing another policy of group life insurance in force, a provision preventing loss of coverage, subject to premium payments, for those active employees who are not actively at work on the effective date of the new policy </w:t>
            </w:r>
            <w:proofErr w:type="gramStart"/>
            <w:r>
              <w:rPr>
                <w:rFonts w:cstheme="minorHAnsi"/>
              </w:rPr>
              <w:t>as long as</w:t>
            </w:r>
            <w:proofErr w:type="gramEnd"/>
            <w:r>
              <w:rPr>
                <w:rFonts w:cstheme="minorHAnsi"/>
              </w:rPr>
              <w:t xml:space="preserve"> certain conditions are met.  </w:t>
            </w:r>
          </w:p>
          <w:p w14:paraId="00BE94F3" w14:textId="5D2EA106" w:rsidR="0003391E" w:rsidRDefault="0003391E" w:rsidP="005B04D1">
            <w:r w:rsidRPr="00E06900">
              <w:rPr>
                <w:rStyle w:val="HTMLCode"/>
                <w:rFonts w:asciiTheme="minorHAnsi" w:eastAsiaTheme="minorHAnsi" w:hAnsiTheme="minorHAnsi" w:cstheme="minorHAnsi"/>
                <w:b/>
                <w:bCs/>
                <w:i/>
                <w:iCs/>
                <w:color w:val="000000"/>
                <w:sz w:val="22"/>
                <w:szCs w:val="22"/>
                <w:shd w:val="clear" w:color="auto" w:fill="FFFFFF"/>
              </w:rPr>
              <w:t>Effective January 1, 2022</w:t>
            </w:r>
          </w:p>
        </w:tc>
        <w:tc>
          <w:tcPr>
            <w:tcW w:w="2490" w:type="dxa"/>
            <w:shd w:val="clear" w:color="auto" w:fill="auto"/>
          </w:tcPr>
          <w:p w14:paraId="2A64EBF2" w14:textId="327832C9" w:rsidR="0003391E" w:rsidRDefault="0003391E" w:rsidP="00307DCA">
            <w:pPr>
              <w:jc w:val="center"/>
              <w:rPr>
                <w:b/>
                <w:sz w:val="28"/>
                <w:szCs w:val="28"/>
              </w:rPr>
            </w:pPr>
            <w:r>
              <w:rPr>
                <w:b/>
                <w:sz w:val="28"/>
                <w:szCs w:val="28"/>
              </w:rPr>
              <w:t>NEUTRAL</w:t>
            </w:r>
          </w:p>
        </w:tc>
        <w:tc>
          <w:tcPr>
            <w:tcW w:w="3353" w:type="dxa"/>
            <w:shd w:val="clear" w:color="auto" w:fill="auto"/>
          </w:tcPr>
          <w:p w14:paraId="7CBC6932" w14:textId="67AD3BB2" w:rsidR="0003391E" w:rsidRDefault="00056E78" w:rsidP="00307DCA">
            <w:pPr>
              <w:jc w:val="center"/>
              <w:rPr>
                <w:rFonts w:cstheme="minorHAnsi"/>
                <w:b/>
              </w:rPr>
            </w:pPr>
            <w:r>
              <w:rPr>
                <w:rFonts w:cstheme="minorHAnsi"/>
                <w:b/>
              </w:rPr>
              <w:t>SENT TO GOVERNOR</w:t>
            </w:r>
          </w:p>
        </w:tc>
      </w:tr>
      <w:tr w:rsidR="0003391E" w:rsidRPr="008053E4" w14:paraId="0DAFEB7C" w14:textId="77777777" w:rsidTr="0069444C">
        <w:tc>
          <w:tcPr>
            <w:tcW w:w="1861" w:type="dxa"/>
            <w:shd w:val="clear" w:color="auto" w:fill="auto"/>
          </w:tcPr>
          <w:p w14:paraId="5D2C7D27" w14:textId="77777777" w:rsidR="0003391E" w:rsidRDefault="00AB3D6F" w:rsidP="00307DCA">
            <w:pPr>
              <w:jc w:val="center"/>
              <w:rPr>
                <w:rStyle w:val="Hyperlink"/>
              </w:rPr>
            </w:pPr>
            <w:hyperlink r:id="rId46" w:history="1">
              <w:r w:rsidR="0003391E">
                <w:rPr>
                  <w:rStyle w:val="Hyperlink"/>
                </w:rPr>
                <w:t>SB 1905 (Morrison)</w:t>
              </w:r>
            </w:hyperlink>
          </w:p>
          <w:p w14:paraId="0ECA1936" w14:textId="77777777" w:rsidR="0003391E" w:rsidRDefault="0003391E" w:rsidP="00307DCA">
            <w:pPr>
              <w:jc w:val="center"/>
              <w:rPr>
                <w:rStyle w:val="Hyperlink"/>
              </w:rPr>
            </w:pPr>
            <w:r>
              <w:rPr>
                <w:rStyle w:val="Hyperlink"/>
              </w:rPr>
              <w:t>(Croke)</w:t>
            </w:r>
          </w:p>
          <w:p w14:paraId="251131E7" w14:textId="3E805AE9" w:rsidR="0003391E" w:rsidRDefault="0003391E" w:rsidP="00307DCA">
            <w:pPr>
              <w:jc w:val="center"/>
            </w:pPr>
          </w:p>
        </w:tc>
        <w:tc>
          <w:tcPr>
            <w:tcW w:w="6781" w:type="dxa"/>
            <w:shd w:val="clear" w:color="auto" w:fill="auto"/>
          </w:tcPr>
          <w:p w14:paraId="10B7CDDA" w14:textId="70CFB8A7" w:rsidR="0003391E" w:rsidRPr="00340A70" w:rsidRDefault="0003391E" w:rsidP="00307DCA">
            <w:pPr>
              <w:rPr>
                <w:rFonts w:cstheme="minorHAnsi"/>
                <w:color w:val="000000"/>
                <w:shd w:val="clear" w:color="auto" w:fill="FFFFFF"/>
              </w:rPr>
            </w:pPr>
            <w:r w:rsidRPr="003E55CC">
              <w:rPr>
                <w:rFonts w:cstheme="minorHAnsi"/>
                <w:color w:val="000000"/>
                <w:shd w:val="clear" w:color="auto" w:fill="FFFFFF"/>
              </w:rPr>
              <w:t>As amended</w:t>
            </w:r>
            <w:r w:rsidR="00340A70" w:rsidRPr="003E55CC">
              <w:rPr>
                <w:rFonts w:cstheme="minorHAnsi"/>
                <w:color w:val="000000"/>
                <w:shd w:val="clear" w:color="auto" w:fill="FFFFFF"/>
              </w:rPr>
              <w:t>,</w:t>
            </w:r>
            <w:r w:rsidRPr="003E55CC">
              <w:rPr>
                <w:rFonts w:cstheme="minorHAnsi"/>
                <w:color w:val="000000"/>
                <w:shd w:val="clear" w:color="auto" w:fill="FFFFFF"/>
              </w:rPr>
              <w:t xml:space="preserve"> </w:t>
            </w:r>
            <w:r w:rsidR="003E55CC">
              <w:rPr>
                <w:rFonts w:cstheme="minorHAnsi"/>
                <w:color w:val="000000"/>
                <w:shd w:val="clear" w:color="auto" w:fill="FFFFFF"/>
              </w:rPr>
              <w:t>c</w:t>
            </w:r>
            <w:r w:rsidRPr="003E55CC">
              <w:rPr>
                <w:rFonts w:cstheme="minorHAnsi"/>
                <w:color w:val="000000"/>
                <w:shd w:val="clear" w:color="auto" w:fill="FFFFFF"/>
              </w:rPr>
              <w:t>reates</w:t>
            </w:r>
            <w:r w:rsidRPr="00340A70">
              <w:rPr>
                <w:rFonts w:cstheme="minorHAnsi"/>
                <w:color w:val="000000"/>
                <w:shd w:val="clear" w:color="auto" w:fill="FFFFFF"/>
              </w:rPr>
              <w:t xml:space="preserve"> the Consumer Coverage Disclosure Act with changes to the disclosures required and the creation of an enforcement procedure. Requires employers to disclose to employees’ differences under the employees' health coverage and health coverage providing essential benefits under health plans regulated by the State of Illinois. Directs the Department of Insurance to provide information outlining the essential benefits and other benefits under coverage regulated under State law. Provides for enforcement by the Department of Labor. Authorize the imposition of civil penalties.</w:t>
            </w:r>
          </w:p>
          <w:p w14:paraId="1FB441D6" w14:textId="7660D858" w:rsidR="0003391E" w:rsidRPr="00353E48" w:rsidRDefault="0003391E" w:rsidP="00307DCA">
            <w:pPr>
              <w:rPr>
                <w:rStyle w:val="HTMLCode"/>
                <w:rFonts w:asciiTheme="minorHAnsi" w:eastAsiaTheme="minorHAnsi" w:hAnsiTheme="minorHAnsi" w:cstheme="minorHAnsi"/>
                <w:color w:val="000000"/>
                <w:sz w:val="22"/>
                <w:szCs w:val="22"/>
                <w:shd w:val="clear" w:color="auto" w:fill="FFFFFF"/>
              </w:rPr>
            </w:pPr>
            <w:r w:rsidRPr="00E472C7">
              <w:rPr>
                <w:rFonts w:cstheme="minorHAnsi"/>
                <w:i/>
                <w:iCs/>
                <w:color w:val="000000"/>
                <w:shd w:val="clear" w:color="auto" w:fill="FFFFFF"/>
              </w:rPr>
              <w:t xml:space="preserve"> </w:t>
            </w:r>
            <w:r w:rsidRPr="00E472C7">
              <w:rPr>
                <w:rFonts w:cstheme="minorHAnsi"/>
                <w:b/>
                <w:bCs/>
                <w:i/>
                <w:iCs/>
                <w:color w:val="000000"/>
                <w:shd w:val="clear" w:color="auto" w:fill="FFFFFF"/>
              </w:rPr>
              <w:t>Effective immediately</w:t>
            </w:r>
          </w:p>
        </w:tc>
        <w:tc>
          <w:tcPr>
            <w:tcW w:w="2490" w:type="dxa"/>
            <w:shd w:val="clear" w:color="auto" w:fill="auto"/>
          </w:tcPr>
          <w:p w14:paraId="70581062" w14:textId="77777777" w:rsidR="0003391E" w:rsidRDefault="0003391E" w:rsidP="00307DCA">
            <w:pPr>
              <w:jc w:val="center"/>
              <w:rPr>
                <w:b/>
                <w:sz w:val="28"/>
                <w:szCs w:val="28"/>
              </w:rPr>
            </w:pPr>
            <w:r>
              <w:rPr>
                <w:b/>
                <w:sz w:val="28"/>
                <w:szCs w:val="28"/>
              </w:rPr>
              <w:t>MONITOR</w:t>
            </w:r>
          </w:p>
          <w:p w14:paraId="614E7D31" w14:textId="7C58A8FE" w:rsidR="0003391E" w:rsidRDefault="0003391E" w:rsidP="00340A70">
            <w:pPr>
              <w:jc w:val="center"/>
              <w:rPr>
                <w:b/>
                <w:sz w:val="28"/>
                <w:szCs w:val="28"/>
              </w:rPr>
            </w:pPr>
          </w:p>
        </w:tc>
        <w:tc>
          <w:tcPr>
            <w:tcW w:w="3353" w:type="dxa"/>
            <w:shd w:val="clear" w:color="auto" w:fill="auto"/>
          </w:tcPr>
          <w:p w14:paraId="49AA79EC" w14:textId="77777777" w:rsidR="0003391E" w:rsidRDefault="0003391E" w:rsidP="00307DCA">
            <w:pPr>
              <w:jc w:val="center"/>
              <w:rPr>
                <w:rFonts w:cstheme="minorHAnsi"/>
                <w:b/>
              </w:rPr>
            </w:pPr>
            <w:r>
              <w:rPr>
                <w:rFonts w:cstheme="minorHAnsi"/>
                <w:b/>
              </w:rPr>
              <w:t>PASSED</w:t>
            </w:r>
          </w:p>
          <w:p w14:paraId="1B25A176" w14:textId="2C141E6A" w:rsidR="0003391E" w:rsidRDefault="0003391E" w:rsidP="00A61E0D">
            <w:pPr>
              <w:jc w:val="center"/>
              <w:rPr>
                <w:rFonts w:cstheme="minorHAnsi"/>
                <w:b/>
              </w:rPr>
            </w:pPr>
            <w:r>
              <w:rPr>
                <w:rFonts w:cstheme="minorHAnsi"/>
                <w:b/>
              </w:rPr>
              <w:t>BOTH HOUSES</w:t>
            </w:r>
          </w:p>
        </w:tc>
      </w:tr>
      <w:tr w:rsidR="0003391E" w:rsidRPr="008053E4" w14:paraId="582B2CBB" w14:textId="77777777" w:rsidTr="0069444C">
        <w:tc>
          <w:tcPr>
            <w:tcW w:w="1861" w:type="dxa"/>
            <w:shd w:val="clear" w:color="auto" w:fill="auto"/>
          </w:tcPr>
          <w:p w14:paraId="3F6C23A6" w14:textId="6B669D75" w:rsidR="0003391E" w:rsidRDefault="00AB3D6F" w:rsidP="00307DCA">
            <w:pPr>
              <w:jc w:val="center"/>
            </w:pPr>
            <w:hyperlink r:id="rId47" w:history="1">
              <w:r w:rsidR="0003391E">
                <w:rPr>
                  <w:rStyle w:val="Hyperlink"/>
                </w:rPr>
                <w:t>SB 1974 (Fine)</w:t>
              </w:r>
            </w:hyperlink>
            <w:r w:rsidR="0003391E">
              <w:rPr>
                <w:rStyle w:val="Hyperlink"/>
              </w:rPr>
              <w:t xml:space="preserve"> (Morgan)</w:t>
            </w:r>
          </w:p>
        </w:tc>
        <w:tc>
          <w:tcPr>
            <w:tcW w:w="6781" w:type="dxa"/>
            <w:shd w:val="clear" w:color="auto" w:fill="auto"/>
          </w:tcPr>
          <w:p w14:paraId="65A43F0E" w14:textId="5311431B" w:rsidR="0003391E" w:rsidRPr="00340A70" w:rsidRDefault="0003391E" w:rsidP="00D76720">
            <w:pPr>
              <w:rPr>
                <w:rFonts w:cstheme="minorHAnsi"/>
                <w:color w:val="000000"/>
                <w:shd w:val="clear" w:color="auto" w:fill="FFFFFF"/>
              </w:rPr>
            </w:pPr>
            <w:r w:rsidRPr="00340A70">
              <w:rPr>
                <w:rStyle w:val="HTMLCode"/>
                <w:rFonts w:asciiTheme="minorHAnsi" w:eastAsiaTheme="minorHAnsi" w:hAnsiTheme="minorHAnsi" w:cstheme="minorHAnsi"/>
                <w:sz w:val="22"/>
                <w:szCs w:val="22"/>
              </w:rPr>
              <w:t>As amended</w:t>
            </w:r>
            <w:r w:rsidR="00340A70" w:rsidRPr="00340A70">
              <w:rPr>
                <w:rStyle w:val="HTMLCode"/>
                <w:rFonts w:asciiTheme="minorHAnsi" w:eastAsiaTheme="minorHAnsi" w:hAnsiTheme="minorHAnsi" w:cstheme="minorHAnsi"/>
                <w:sz w:val="22"/>
                <w:szCs w:val="22"/>
              </w:rPr>
              <w:t xml:space="preserve">, </w:t>
            </w:r>
            <w:r w:rsidRPr="00340A70">
              <w:rPr>
                <w:rFonts w:cstheme="minorHAnsi"/>
                <w:color w:val="000000"/>
                <w:shd w:val="clear" w:color="auto" w:fill="FFFFFF"/>
              </w:rPr>
              <w:t xml:space="preserve">provides that no recoupment or offset may be requested or withheld from future payments 12 months or more after the original payment is made, except in cases in which an insurer contracted with the Department of Healthcare and Family Services is required by the Department of Healthcare and Family Services to recoup or offset payments due to a federal Medicaid requirement. </w:t>
            </w:r>
          </w:p>
          <w:p w14:paraId="32A06694" w14:textId="6913F385" w:rsidR="0003391E" w:rsidRDefault="0003391E" w:rsidP="00307DCA">
            <w:pPr>
              <w:rPr>
                <w:rStyle w:val="HTMLCode"/>
                <w:rFonts w:asciiTheme="minorHAnsi" w:eastAsiaTheme="minorHAnsi" w:hAnsiTheme="minorHAnsi" w:cstheme="minorHAnsi"/>
                <w:color w:val="000000"/>
                <w:sz w:val="22"/>
                <w:szCs w:val="22"/>
                <w:shd w:val="clear" w:color="auto" w:fill="FFFFFF"/>
              </w:rPr>
            </w:pPr>
            <w:r w:rsidRPr="00E472C7">
              <w:rPr>
                <w:rFonts w:cstheme="minorHAnsi"/>
                <w:b/>
                <w:bCs/>
                <w:i/>
                <w:iCs/>
                <w:color w:val="000000"/>
                <w:shd w:val="clear" w:color="auto" w:fill="FFFFFF"/>
              </w:rPr>
              <w:t>Effective January 1, 2022</w:t>
            </w:r>
          </w:p>
        </w:tc>
        <w:tc>
          <w:tcPr>
            <w:tcW w:w="2490" w:type="dxa"/>
            <w:shd w:val="clear" w:color="auto" w:fill="auto"/>
          </w:tcPr>
          <w:p w14:paraId="7FE8E10D" w14:textId="64F4671D" w:rsidR="0003391E" w:rsidRPr="00340A70" w:rsidRDefault="00340A70" w:rsidP="0048024C">
            <w:pPr>
              <w:jc w:val="center"/>
              <w:rPr>
                <w:b/>
                <w:sz w:val="28"/>
                <w:szCs w:val="28"/>
              </w:rPr>
            </w:pPr>
            <w:r w:rsidRPr="00340A70">
              <w:rPr>
                <w:b/>
                <w:sz w:val="28"/>
                <w:szCs w:val="28"/>
              </w:rPr>
              <w:t xml:space="preserve">NEUTRAL </w:t>
            </w:r>
          </w:p>
          <w:p w14:paraId="0F249FA0" w14:textId="7337E5B4" w:rsidR="00340A70" w:rsidRPr="00340A70" w:rsidRDefault="00340A70" w:rsidP="0048024C">
            <w:pPr>
              <w:jc w:val="center"/>
              <w:rPr>
                <w:b/>
              </w:rPr>
            </w:pPr>
            <w:r w:rsidRPr="00340A70">
              <w:rPr>
                <w:b/>
                <w:sz w:val="28"/>
                <w:szCs w:val="28"/>
              </w:rPr>
              <w:t>AS AMENDED</w:t>
            </w:r>
          </w:p>
          <w:p w14:paraId="4E8C1C59" w14:textId="3D7223B0" w:rsidR="0003391E" w:rsidRDefault="0003391E" w:rsidP="00307DCA">
            <w:pPr>
              <w:jc w:val="center"/>
              <w:rPr>
                <w:b/>
                <w:sz w:val="28"/>
                <w:szCs w:val="28"/>
              </w:rPr>
            </w:pPr>
          </w:p>
        </w:tc>
        <w:tc>
          <w:tcPr>
            <w:tcW w:w="3353" w:type="dxa"/>
            <w:shd w:val="clear" w:color="auto" w:fill="auto"/>
          </w:tcPr>
          <w:p w14:paraId="64D00E34" w14:textId="77777777" w:rsidR="0003391E" w:rsidRDefault="0003391E" w:rsidP="00307DCA">
            <w:pPr>
              <w:jc w:val="center"/>
              <w:rPr>
                <w:rFonts w:cstheme="minorHAnsi"/>
                <w:b/>
              </w:rPr>
            </w:pPr>
            <w:r>
              <w:rPr>
                <w:rFonts w:cstheme="minorHAnsi"/>
                <w:b/>
              </w:rPr>
              <w:t>PASSED</w:t>
            </w:r>
          </w:p>
          <w:p w14:paraId="70286157" w14:textId="1CBDBC4E" w:rsidR="0003391E" w:rsidRDefault="0003391E" w:rsidP="00307DCA">
            <w:pPr>
              <w:jc w:val="center"/>
              <w:rPr>
                <w:rFonts w:cstheme="minorHAnsi"/>
                <w:b/>
              </w:rPr>
            </w:pPr>
            <w:r>
              <w:rPr>
                <w:rFonts w:cstheme="minorHAnsi"/>
                <w:b/>
              </w:rPr>
              <w:t>BOTH HOUSES</w:t>
            </w:r>
          </w:p>
        </w:tc>
      </w:tr>
      <w:tr w:rsidR="0003391E" w:rsidRPr="00D66D4E" w14:paraId="78BBE21E" w14:textId="77777777" w:rsidTr="0069444C">
        <w:tc>
          <w:tcPr>
            <w:tcW w:w="1861" w:type="dxa"/>
            <w:shd w:val="clear" w:color="auto" w:fill="auto"/>
          </w:tcPr>
          <w:p w14:paraId="2EC53ED1" w14:textId="01484B4E" w:rsidR="0003391E" w:rsidRPr="00136404" w:rsidRDefault="00AB3D6F" w:rsidP="00EB684D">
            <w:pPr>
              <w:jc w:val="center"/>
              <w:rPr>
                <w:color w:val="2F5496" w:themeColor="accent1" w:themeShade="BF"/>
              </w:rPr>
            </w:pPr>
            <w:hyperlink r:id="rId48" w:history="1">
              <w:r w:rsidR="0003391E">
                <w:rPr>
                  <w:rStyle w:val="Hyperlink"/>
                </w:rPr>
                <w:t>SB 2112 (Harris)</w:t>
              </w:r>
            </w:hyperlink>
            <w:r w:rsidR="0003391E">
              <w:rPr>
                <w:rStyle w:val="Hyperlink"/>
              </w:rPr>
              <w:t xml:space="preserve"> (Gabel)</w:t>
            </w:r>
          </w:p>
        </w:tc>
        <w:tc>
          <w:tcPr>
            <w:tcW w:w="6781" w:type="dxa"/>
            <w:shd w:val="clear" w:color="auto" w:fill="auto"/>
          </w:tcPr>
          <w:p w14:paraId="01BCC94B" w14:textId="13A3BC89" w:rsidR="0003391E" w:rsidRPr="00340A70" w:rsidRDefault="0003391E" w:rsidP="00307DCA">
            <w:pPr>
              <w:rPr>
                <w:rFonts w:eastAsia="Times New Roman" w:cstheme="minorHAnsi"/>
              </w:rPr>
            </w:pPr>
            <w:r w:rsidRPr="00340A70">
              <w:rPr>
                <w:rFonts w:eastAsia="Times New Roman" w:cstheme="minorHAnsi"/>
              </w:rPr>
              <w:t>A</w:t>
            </w:r>
            <w:r w:rsidRPr="00340A70">
              <w:rPr>
                <w:rFonts w:eastAsia="Times New Roman"/>
              </w:rPr>
              <w:t>s amended</w:t>
            </w:r>
            <w:r w:rsidR="00340A70" w:rsidRPr="00340A70">
              <w:rPr>
                <w:rFonts w:eastAsia="Times New Roman"/>
              </w:rPr>
              <w:t xml:space="preserve">, </w:t>
            </w:r>
            <w:proofErr w:type="gramStart"/>
            <w:r w:rsidRPr="00340A70">
              <w:rPr>
                <w:rFonts w:eastAsia="Times New Roman" w:cstheme="minorHAnsi"/>
              </w:rPr>
              <w:t>Provides</w:t>
            </w:r>
            <w:proofErr w:type="gramEnd"/>
            <w:r w:rsidRPr="00340A70">
              <w:rPr>
                <w:rFonts w:eastAsia="Times New Roman" w:cstheme="minorHAnsi"/>
              </w:rPr>
              <w:t xml:space="preserve"> that a life company issuing an individual life insurance contract on or after January 1, 2022 shall notify an applicant, in writing on a form prescribed by the company at the time of application for the policy, of the applicant’s right to designate a secondary addressee to receive notice of cancellation of the policy based on nonpayment of premium. Provides that the applicant may make the secondary addressee designation at the time of application for such policy or at any time such policy is in force by submitting a written notice to the insurer containing the name and address of the secondary addressee. Provides that an insurer’s transmission to a secondary addressee of a copy of a notice of cancellation based on nonpayment of premium shall be in addition to the transmission of the original document to the policyholder, and that the copy of the notice of cancellation transmitted to the secondary addressee shall be made in the same manner and form required for the transmission of the notice to the policyholder. Provides that the designation of a secondary addressee shall not constitute acceptance of any liability on the part of the secondary addressee or insurer for services </w:t>
            </w:r>
            <w:r w:rsidRPr="00340A70">
              <w:rPr>
                <w:rFonts w:eastAsia="Times New Roman" w:cstheme="minorHAnsi"/>
              </w:rPr>
              <w:lastRenderedPageBreak/>
              <w:t xml:space="preserve">provided to the policyholder. Provides that the secondary notice requirement does not apply to any individual life insurance contract under which premiums are payable monthly or more frequently and are regularly collected by a licensed agent or are paid by credit card or any preauthorized check processing or automatic debit service of a financial institution. Provides that nothing in the language shall prohibit an applicant or policyholder from designating a life insurance agent of record as his or her secondary addressee. </w:t>
            </w:r>
          </w:p>
          <w:p w14:paraId="60079FDB" w14:textId="428302D6" w:rsidR="0003391E" w:rsidRPr="00340A70" w:rsidRDefault="0003391E" w:rsidP="00307DCA">
            <w:pPr>
              <w:rPr>
                <w:rFonts w:cstheme="minorHAnsi"/>
                <w:b/>
                <w:bCs/>
                <w:i/>
                <w:iCs/>
              </w:rPr>
            </w:pPr>
            <w:r w:rsidRPr="00340A70">
              <w:rPr>
                <w:rFonts w:eastAsia="Times New Roman" w:cstheme="minorHAnsi"/>
                <w:b/>
                <w:bCs/>
                <w:i/>
                <w:iCs/>
              </w:rPr>
              <w:t>Effective January 1, 2022</w:t>
            </w:r>
          </w:p>
        </w:tc>
        <w:tc>
          <w:tcPr>
            <w:tcW w:w="2490" w:type="dxa"/>
            <w:shd w:val="clear" w:color="auto" w:fill="auto"/>
          </w:tcPr>
          <w:p w14:paraId="2E3CAB41" w14:textId="77777777" w:rsidR="0003391E" w:rsidRPr="00340A70" w:rsidRDefault="00340A70" w:rsidP="00340A70">
            <w:pPr>
              <w:jc w:val="center"/>
              <w:rPr>
                <w:b/>
                <w:sz w:val="28"/>
                <w:szCs w:val="28"/>
              </w:rPr>
            </w:pPr>
            <w:r w:rsidRPr="00340A70">
              <w:rPr>
                <w:b/>
                <w:sz w:val="28"/>
                <w:szCs w:val="28"/>
              </w:rPr>
              <w:lastRenderedPageBreak/>
              <w:t xml:space="preserve">NEUTRAL </w:t>
            </w:r>
          </w:p>
          <w:p w14:paraId="1F8C884A" w14:textId="40F2A028" w:rsidR="00340A70" w:rsidRPr="00D66D4E" w:rsidRDefault="00340A70" w:rsidP="00340A70">
            <w:pPr>
              <w:jc w:val="center"/>
              <w:rPr>
                <w:b/>
                <w:sz w:val="28"/>
                <w:szCs w:val="28"/>
              </w:rPr>
            </w:pPr>
            <w:r w:rsidRPr="00340A70">
              <w:rPr>
                <w:b/>
                <w:sz w:val="28"/>
                <w:szCs w:val="28"/>
              </w:rPr>
              <w:t>AS AMENDED</w:t>
            </w:r>
          </w:p>
        </w:tc>
        <w:tc>
          <w:tcPr>
            <w:tcW w:w="3353" w:type="dxa"/>
            <w:shd w:val="clear" w:color="auto" w:fill="auto"/>
          </w:tcPr>
          <w:p w14:paraId="6D553414" w14:textId="7063DCA0" w:rsidR="0003391E" w:rsidRPr="00D66D4E" w:rsidRDefault="00C13677" w:rsidP="00307DCA">
            <w:pPr>
              <w:jc w:val="center"/>
              <w:rPr>
                <w:rFonts w:cstheme="minorHAnsi"/>
                <w:b/>
              </w:rPr>
            </w:pPr>
            <w:r>
              <w:rPr>
                <w:rFonts w:cstheme="minorHAnsi"/>
                <w:b/>
              </w:rPr>
              <w:t>SENT TO GOVERNOR</w:t>
            </w:r>
          </w:p>
        </w:tc>
      </w:tr>
      <w:tr w:rsidR="0003391E" w:rsidRPr="00D66D4E" w14:paraId="7BCD24BA" w14:textId="77777777" w:rsidTr="0069444C">
        <w:tc>
          <w:tcPr>
            <w:tcW w:w="1861" w:type="dxa"/>
            <w:shd w:val="clear" w:color="auto" w:fill="auto"/>
          </w:tcPr>
          <w:p w14:paraId="6C803D77" w14:textId="2D0CCEB8" w:rsidR="0003391E" w:rsidRDefault="00AB3D6F" w:rsidP="00F5446C">
            <w:pPr>
              <w:jc w:val="center"/>
            </w:pPr>
            <w:hyperlink r:id="rId49" w:history="1">
              <w:r w:rsidR="0003391E">
                <w:rPr>
                  <w:rStyle w:val="Hyperlink"/>
                </w:rPr>
                <w:t>SB 2158 (Tracy)</w:t>
              </w:r>
            </w:hyperlink>
          </w:p>
        </w:tc>
        <w:tc>
          <w:tcPr>
            <w:tcW w:w="6781" w:type="dxa"/>
            <w:shd w:val="clear" w:color="auto" w:fill="auto"/>
          </w:tcPr>
          <w:p w14:paraId="0EC2E2CA" w14:textId="526577BC" w:rsidR="0003391E" w:rsidRPr="003E55CC" w:rsidRDefault="0003391E" w:rsidP="00307DCA">
            <w:pPr>
              <w:rPr>
                <w:rFonts w:cstheme="minorHAnsi"/>
                <w:color w:val="000000"/>
                <w:shd w:val="clear" w:color="auto" w:fill="FFFFFF"/>
              </w:rPr>
            </w:pPr>
            <w:r w:rsidRPr="00340A70">
              <w:rPr>
                <w:rStyle w:val="HTMLCode"/>
                <w:rFonts w:asciiTheme="minorHAnsi" w:eastAsiaTheme="minorHAnsi" w:hAnsiTheme="minorHAnsi" w:cstheme="minorHAnsi"/>
                <w:color w:val="000000"/>
                <w:sz w:val="22"/>
                <w:szCs w:val="22"/>
                <w:shd w:val="clear" w:color="auto" w:fill="FFFFFF"/>
              </w:rPr>
              <w:t>As amended</w:t>
            </w:r>
            <w:r w:rsidR="003E55CC">
              <w:rPr>
                <w:rStyle w:val="HTMLCode"/>
                <w:rFonts w:asciiTheme="minorHAnsi" w:eastAsiaTheme="minorHAnsi" w:hAnsiTheme="minorHAnsi" w:cstheme="minorHAnsi"/>
                <w:color w:val="000000"/>
                <w:sz w:val="22"/>
                <w:szCs w:val="22"/>
                <w:shd w:val="clear" w:color="auto" w:fill="FFFFFF"/>
              </w:rPr>
              <w:t>, m</w:t>
            </w:r>
            <w:r w:rsidR="00340A70" w:rsidRPr="00340A70">
              <w:rPr>
                <w:rStyle w:val="HTMLCode"/>
                <w:rFonts w:asciiTheme="minorHAnsi" w:eastAsiaTheme="minorHAnsi" w:hAnsiTheme="minorHAnsi" w:cstheme="minorHAnsi"/>
                <w:color w:val="000000"/>
                <w:sz w:val="22"/>
                <w:szCs w:val="22"/>
                <w:shd w:val="clear" w:color="auto" w:fill="FFFFFF"/>
              </w:rPr>
              <w:t xml:space="preserve">andates coverage for the treatment, removal, elimination, or maximum feasible treatment of nevus </w:t>
            </w:r>
            <w:proofErr w:type="spellStart"/>
            <w:r w:rsidR="00340A70" w:rsidRPr="00340A70">
              <w:rPr>
                <w:rStyle w:val="HTMLCode"/>
                <w:rFonts w:asciiTheme="minorHAnsi" w:eastAsiaTheme="minorHAnsi" w:hAnsiTheme="minorHAnsi" w:cstheme="minorHAnsi"/>
                <w:color w:val="000000"/>
                <w:sz w:val="22"/>
                <w:szCs w:val="22"/>
                <w:shd w:val="clear" w:color="auto" w:fill="FFFFFF"/>
              </w:rPr>
              <w:t>flammeus</w:t>
            </w:r>
            <w:proofErr w:type="spellEnd"/>
            <w:r w:rsidR="00340A70" w:rsidRPr="00340A70">
              <w:rPr>
                <w:rStyle w:val="HTMLCode"/>
                <w:rFonts w:asciiTheme="minorHAnsi" w:eastAsiaTheme="minorHAnsi" w:hAnsiTheme="minorHAnsi" w:cstheme="minorHAnsi"/>
                <w:color w:val="000000"/>
                <w:sz w:val="22"/>
                <w:szCs w:val="22"/>
                <w:shd w:val="clear" w:color="auto" w:fill="FFFFFF"/>
              </w:rPr>
              <w:t xml:space="preserve"> (port-wine stains), including, but not limited to, port-wine stains caused by Sturge-Weber syndrome and</w:t>
            </w:r>
            <w:r w:rsidR="00340A70">
              <w:rPr>
                <w:rStyle w:val="HTMLCode"/>
                <w:rFonts w:asciiTheme="minorHAnsi" w:eastAsiaTheme="minorHAnsi" w:hAnsiTheme="minorHAnsi" w:cstheme="minorHAnsi"/>
                <w:color w:val="000000"/>
                <w:sz w:val="22"/>
                <w:szCs w:val="22"/>
                <w:shd w:val="clear" w:color="auto" w:fill="FFFFFF"/>
              </w:rPr>
              <w:t xml:space="preserve"> </w:t>
            </w:r>
            <w:r w:rsidRPr="00340A70">
              <w:rPr>
                <w:rStyle w:val="HTMLCode"/>
                <w:rFonts w:asciiTheme="minorHAnsi" w:eastAsiaTheme="minorHAnsi" w:hAnsiTheme="minorHAnsi" w:cstheme="minorHAnsi"/>
                <w:color w:val="000000"/>
                <w:sz w:val="22"/>
                <w:szCs w:val="22"/>
                <w:shd w:val="clear" w:color="auto" w:fill="FFFFFF"/>
              </w:rPr>
              <w:t xml:space="preserve">tightens the mandate by listing out early intervention treatments as well as providing an age limit of 18.  The condition is treated with the intention to prevent functional impairment.  Cosmetic coverage is not included. </w:t>
            </w:r>
            <w:r w:rsidRPr="00E472C7">
              <w:rPr>
                <w:rFonts w:eastAsia="Times New Roman" w:cstheme="minorHAnsi"/>
                <w:b/>
                <w:bCs/>
                <w:i/>
                <w:iCs/>
              </w:rPr>
              <w:t>Effective January 1, 2022</w:t>
            </w:r>
          </w:p>
        </w:tc>
        <w:tc>
          <w:tcPr>
            <w:tcW w:w="2490" w:type="dxa"/>
            <w:shd w:val="clear" w:color="auto" w:fill="auto"/>
          </w:tcPr>
          <w:p w14:paraId="3F9C4388" w14:textId="5C997A2E" w:rsidR="0003391E" w:rsidRPr="00340A70" w:rsidRDefault="00340A70" w:rsidP="00307DCA">
            <w:pPr>
              <w:jc w:val="center"/>
              <w:rPr>
                <w:b/>
                <w:sz w:val="28"/>
                <w:szCs w:val="28"/>
              </w:rPr>
            </w:pPr>
            <w:r w:rsidRPr="00340A70">
              <w:rPr>
                <w:b/>
                <w:sz w:val="28"/>
                <w:szCs w:val="28"/>
              </w:rPr>
              <w:t xml:space="preserve">NEUTRAL </w:t>
            </w:r>
          </w:p>
          <w:p w14:paraId="06F11978" w14:textId="667022C4" w:rsidR="00340A70" w:rsidRPr="00340A70" w:rsidRDefault="00340A70" w:rsidP="00307DCA">
            <w:pPr>
              <w:jc w:val="center"/>
              <w:rPr>
                <w:b/>
                <w:sz w:val="28"/>
                <w:szCs w:val="28"/>
              </w:rPr>
            </w:pPr>
            <w:r w:rsidRPr="00340A70">
              <w:rPr>
                <w:b/>
                <w:sz w:val="28"/>
                <w:szCs w:val="28"/>
              </w:rPr>
              <w:t>AS AMENDED</w:t>
            </w:r>
          </w:p>
          <w:p w14:paraId="658309DD" w14:textId="592D519A" w:rsidR="0003391E" w:rsidRDefault="0003391E" w:rsidP="00307DCA">
            <w:pPr>
              <w:jc w:val="center"/>
              <w:rPr>
                <w:b/>
                <w:sz w:val="28"/>
                <w:szCs w:val="28"/>
              </w:rPr>
            </w:pPr>
          </w:p>
        </w:tc>
        <w:tc>
          <w:tcPr>
            <w:tcW w:w="3353" w:type="dxa"/>
            <w:shd w:val="clear" w:color="auto" w:fill="auto"/>
          </w:tcPr>
          <w:p w14:paraId="315189B7" w14:textId="77777777" w:rsidR="0003391E" w:rsidRDefault="0003391E" w:rsidP="00307DCA">
            <w:pPr>
              <w:jc w:val="center"/>
              <w:rPr>
                <w:rFonts w:cstheme="minorHAnsi"/>
                <w:b/>
              </w:rPr>
            </w:pPr>
            <w:r>
              <w:rPr>
                <w:rFonts w:cstheme="minorHAnsi"/>
                <w:b/>
              </w:rPr>
              <w:t xml:space="preserve">PASSED </w:t>
            </w:r>
          </w:p>
          <w:p w14:paraId="6F1E631C" w14:textId="201CFCEF" w:rsidR="0003391E" w:rsidRDefault="0003391E" w:rsidP="00A61E0D">
            <w:pPr>
              <w:jc w:val="center"/>
              <w:rPr>
                <w:rFonts w:cstheme="minorHAnsi"/>
                <w:b/>
              </w:rPr>
            </w:pPr>
            <w:r>
              <w:rPr>
                <w:rFonts w:cstheme="minorHAnsi"/>
                <w:b/>
              </w:rPr>
              <w:t>BOTH HOUSES</w:t>
            </w:r>
          </w:p>
        </w:tc>
      </w:tr>
      <w:tr w:rsidR="0003391E" w:rsidRPr="00D66D4E" w14:paraId="7B32DEC9" w14:textId="77777777" w:rsidTr="0069444C">
        <w:tc>
          <w:tcPr>
            <w:tcW w:w="1861" w:type="dxa"/>
            <w:shd w:val="clear" w:color="auto" w:fill="auto"/>
          </w:tcPr>
          <w:p w14:paraId="555C8F40" w14:textId="498F1C7F" w:rsidR="0003391E" w:rsidRDefault="00AB3D6F" w:rsidP="00477F84">
            <w:pPr>
              <w:jc w:val="center"/>
              <w:rPr>
                <w:rStyle w:val="Hyperlink"/>
              </w:rPr>
            </w:pPr>
            <w:hyperlink r:id="rId50" w:history="1">
              <w:r w:rsidR="0003391E">
                <w:rPr>
                  <w:rStyle w:val="Hyperlink"/>
                </w:rPr>
                <w:t>SB 2294 (Gillespie)</w:t>
              </w:r>
            </w:hyperlink>
          </w:p>
          <w:p w14:paraId="49445C7B" w14:textId="5AF05D45" w:rsidR="0003391E" w:rsidRDefault="0003391E" w:rsidP="00477F84">
            <w:pPr>
              <w:jc w:val="center"/>
              <w:rPr>
                <w:color w:val="2F5496" w:themeColor="accent1" w:themeShade="BF"/>
              </w:rPr>
            </w:pPr>
            <w:r>
              <w:rPr>
                <w:rStyle w:val="Hyperlink"/>
              </w:rPr>
              <w:t>(G. Harris)</w:t>
            </w:r>
          </w:p>
        </w:tc>
        <w:tc>
          <w:tcPr>
            <w:tcW w:w="6781" w:type="dxa"/>
            <w:shd w:val="clear" w:color="auto" w:fill="auto"/>
          </w:tcPr>
          <w:p w14:paraId="5E9CB92B" w14:textId="19AF4E8D" w:rsidR="0003391E" w:rsidRPr="003E55CC" w:rsidRDefault="0003391E" w:rsidP="00307DCA">
            <w:r>
              <w:rPr>
                <w:rStyle w:val="HTMLCode"/>
                <w:rFonts w:asciiTheme="minorHAnsi" w:eastAsiaTheme="minorHAnsi" w:hAnsiTheme="minorHAnsi" w:cstheme="minorHAnsi"/>
                <w:b/>
                <w:bCs/>
                <w:i/>
                <w:iCs/>
                <w:color w:val="000000"/>
                <w:sz w:val="22"/>
                <w:szCs w:val="22"/>
                <w:shd w:val="clear" w:color="auto" w:fill="FFFFFF"/>
              </w:rPr>
              <w:t>DOI Initiative</w:t>
            </w:r>
            <w:r>
              <w:rPr>
                <w:rStyle w:val="HTMLCode"/>
                <w:rFonts w:asciiTheme="minorHAnsi" w:eastAsiaTheme="minorHAnsi" w:hAnsiTheme="minorHAnsi" w:cstheme="minorHAnsi"/>
                <w:color w:val="000000"/>
                <w:sz w:val="22"/>
                <w:szCs w:val="22"/>
                <w:shd w:val="clear" w:color="auto" w:fill="FFFFFF"/>
              </w:rPr>
              <w:t xml:space="preserve"> increasing the wellness coverage cap from 20% to 30% per federal rules and further provides clean-up of the Navigator Certification Act.  </w:t>
            </w:r>
            <w:r w:rsidRPr="00E472C7">
              <w:rPr>
                <w:b/>
                <w:bCs/>
                <w:i/>
                <w:iCs/>
              </w:rPr>
              <w:t>Effective upon become law</w:t>
            </w:r>
          </w:p>
        </w:tc>
        <w:tc>
          <w:tcPr>
            <w:tcW w:w="2490" w:type="dxa"/>
            <w:shd w:val="clear" w:color="auto" w:fill="auto"/>
          </w:tcPr>
          <w:p w14:paraId="3D788255" w14:textId="720EB7E5" w:rsidR="0003391E" w:rsidRPr="00D66D4E" w:rsidRDefault="0003391E" w:rsidP="00307DCA">
            <w:pPr>
              <w:jc w:val="center"/>
              <w:rPr>
                <w:b/>
                <w:sz w:val="28"/>
                <w:szCs w:val="28"/>
              </w:rPr>
            </w:pPr>
            <w:r>
              <w:rPr>
                <w:b/>
                <w:sz w:val="28"/>
                <w:szCs w:val="28"/>
              </w:rPr>
              <w:t>NO POSITION</w:t>
            </w:r>
          </w:p>
        </w:tc>
        <w:tc>
          <w:tcPr>
            <w:tcW w:w="3353" w:type="dxa"/>
            <w:shd w:val="clear" w:color="auto" w:fill="auto"/>
          </w:tcPr>
          <w:p w14:paraId="72323082" w14:textId="77777777" w:rsidR="0003391E" w:rsidRDefault="0003391E" w:rsidP="00307DCA">
            <w:pPr>
              <w:jc w:val="center"/>
              <w:rPr>
                <w:rFonts w:cstheme="minorHAnsi"/>
                <w:b/>
              </w:rPr>
            </w:pPr>
            <w:r>
              <w:rPr>
                <w:rFonts w:cstheme="minorHAnsi"/>
                <w:b/>
              </w:rPr>
              <w:t>PASSED</w:t>
            </w:r>
          </w:p>
          <w:p w14:paraId="532CDD4E" w14:textId="0A7BE42A" w:rsidR="0003391E" w:rsidRPr="00D66D4E" w:rsidRDefault="0003391E" w:rsidP="00A61E0D">
            <w:pPr>
              <w:jc w:val="center"/>
              <w:rPr>
                <w:rFonts w:cstheme="minorHAnsi"/>
                <w:b/>
              </w:rPr>
            </w:pPr>
            <w:r>
              <w:rPr>
                <w:rFonts w:cstheme="minorHAnsi"/>
                <w:b/>
              </w:rPr>
              <w:t>BOTH HOUSES</w:t>
            </w:r>
          </w:p>
        </w:tc>
      </w:tr>
    </w:tbl>
    <w:p w14:paraId="25F76048" w14:textId="77777777" w:rsidR="000D0D83" w:rsidRPr="0071629D" w:rsidRDefault="000D0D83" w:rsidP="00E036EA">
      <w:pPr>
        <w:rPr>
          <w:b/>
          <w:sz w:val="28"/>
          <w:szCs w:val="28"/>
        </w:rPr>
      </w:pPr>
      <w:bookmarkStart w:id="1" w:name="_top"/>
      <w:bookmarkEnd w:id="1"/>
    </w:p>
    <w:sectPr w:rsidR="000D0D83" w:rsidRPr="0071629D" w:rsidSect="00601B45">
      <w:footerReference w:type="default" r:id="rId5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4285" w14:textId="77777777" w:rsidR="00AB3D6F" w:rsidRDefault="00AB3D6F" w:rsidP="00890793">
      <w:pPr>
        <w:spacing w:after="0" w:line="240" w:lineRule="auto"/>
      </w:pPr>
      <w:r>
        <w:separator/>
      </w:r>
    </w:p>
  </w:endnote>
  <w:endnote w:type="continuationSeparator" w:id="0">
    <w:p w14:paraId="2777C7CE" w14:textId="77777777" w:rsidR="00AB3D6F" w:rsidRDefault="00AB3D6F" w:rsidP="0089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737363"/>
      <w:docPartObj>
        <w:docPartGallery w:val="Page Numbers (Bottom of Page)"/>
        <w:docPartUnique/>
      </w:docPartObj>
    </w:sdtPr>
    <w:sdtEndPr>
      <w:rPr>
        <w:noProof/>
      </w:rPr>
    </w:sdtEndPr>
    <w:sdtContent>
      <w:p w14:paraId="1CAD3D3F" w14:textId="2C2670F2" w:rsidR="004E700B" w:rsidRDefault="004E700B">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3C0BABEB" w14:textId="77777777" w:rsidR="004E700B" w:rsidRDefault="004E7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248B" w14:textId="77777777" w:rsidR="00AB3D6F" w:rsidRDefault="00AB3D6F" w:rsidP="00890793">
      <w:pPr>
        <w:spacing w:after="0" w:line="240" w:lineRule="auto"/>
      </w:pPr>
      <w:r>
        <w:separator/>
      </w:r>
    </w:p>
  </w:footnote>
  <w:footnote w:type="continuationSeparator" w:id="0">
    <w:p w14:paraId="48D0A4F9" w14:textId="77777777" w:rsidR="00AB3D6F" w:rsidRDefault="00AB3D6F" w:rsidP="00890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465"/>
    <w:multiLevelType w:val="hybridMultilevel"/>
    <w:tmpl w:val="33A6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66996"/>
    <w:multiLevelType w:val="hybridMultilevel"/>
    <w:tmpl w:val="EFD68258"/>
    <w:lvl w:ilvl="0" w:tplc="683E7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812508"/>
    <w:multiLevelType w:val="hybridMultilevel"/>
    <w:tmpl w:val="5D9C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9D"/>
    <w:rsid w:val="0000030C"/>
    <w:rsid w:val="00005460"/>
    <w:rsid w:val="00007E65"/>
    <w:rsid w:val="000131D8"/>
    <w:rsid w:val="000140F0"/>
    <w:rsid w:val="0001419B"/>
    <w:rsid w:val="000208C5"/>
    <w:rsid w:val="00021FD1"/>
    <w:rsid w:val="00022A26"/>
    <w:rsid w:val="000237BA"/>
    <w:rsid w:val="0002430A"/>
    <w:rsid w:val="00031B3A"/>
    <w:rsid w:val="00031C79"/>
    <w:rsid w:val="0003391E"/>
    <w:rsid w:val="0003500A"/>
    <w:rsid w:val="000357AB"/>
    <w:rsid w:val="00045184"/>
    <w:rsid w:val="00056E78"/>
    <w:rsid w:val="00061799"/>
    <w:rsid w:val="000655E4"/>
    <w:rsid w:val="00073BEE"/>
    <w:rsid w:val="000803D0"/>
    <w:rsid w:val="0008655C"/>
    <w:rsid w:val="000875BC"/>
    <w:rsid w:val="000964C4"/>
    <w:rsid w:val="000A153F"/>
    <w:rsid w:val="000A1C1A"/>
    <w:rsid w:val="000A39F6"/>
    <w:rsid w:val="000B0562"/>
    <w:rsid w:val="000B0C97"/>
    <w:rsid w:val="000B4108"/>
    <w:rsid w:val="000B4970"/>
    <w:rsid w:val="000C5AD9"/>
    <w:rsid w:val="000C5D4D"/>
    <w:rsid w:val="000C64B7"/>
    <w:rsid w:val="000C7DE0"/>
    <w:rsid w:val="000D09F9"/>
    <w:rsid w:val="000D0D83"/>
    <w:rsid w:val="000D0EAA"/>
    <w:rsid w:val="000D0F27"/>
    <w:rsid w:val="000D276B"/>
    <w:rsid w:val="000D648B"/>
    <w:rsid w:val="000D67A6"/>
    <w:rsid w:val="000D6E27"/>
    <w:rsid w:val="000D7737"/>
    <w:rsid w:val="000E44F3"/>
    <w:rsid w:val="000F0D94"/>
    <w:rsid w:val="000F79CC"/>
    <w:rsid w:val="00102A2B"/>
    <w:rsid w:val="001043D3"/>
    <w:rsid w:val="00105BE3"/>
    <w:rsid w:val="001108C9"/>
    <w:rsid w:val="001151E6"/>
    <w:rsid w:val="00120982"/>
    <w:rsid w:val="0012411A"/>
    <w:rsid w:val="0012415F"/>
    <w:rsid w:val="001272B0"/>
    <w:rsid w:val="00127F01"/>
    <w:rsid w:val="0013019B"/>
    <w:rsid w:val="00130B93"/>
    <w:rsid w:val="00136404"/>
    <w:rsid w:val="0014177E"/>
    <w:rsid w:val="00151AB5"/>
    <w:rsid w:val="00155768"/>
    <w:rsid w:val="00160830"/>
    <w:rsid w:val="00161002"/>
    <w:rsid w:val="00162ADE"/>
    <w:rsid w:val="00162FA1"/>
    <w:rsid w:val="0016570D"/>
    <w:rsid w:val="00166D53"/>
    <w:rsid w:val="00172C30"/>
    <w:rsid w:val="0017447D"/>
    <w:rsid w:val="0017475C"/>
    <w:rsid w:val="00175F53"/>
    <w:rsid w:val="00175FB2"/>
    <w:rsid w:val="00180ADD"/>
    <w:rsid w:val="00182C0C"/>
    <w:rsid w:val="001863F7"/>
    <w:rsid w:val="001904AA"/>
    <w:rsid w:val="00190ABC"/>
    <w:rsid w:val="00191F77"/>
    <w:rsid w:val="0019510C"/>
    <w:rsid w:val="001A05F5"/>
    <w:rsid w:val="001A3B41"/>
    <w:rsid w:val="001A5C2C"/>
    <w:rsid w:val="001A67B9"/>
    <w:rsid w:val="001B0F97"/>
    <w:rsid w:val="001B1783"/>
    <w:rsid w:val="001B201D"/>
    <w:rsid w:val="001B2A0F"/>
    <w:rsid w:val="001B52EA"/>
    <w:rsid w:val="001B7003"/>
    <w:rsid w:val="001B75CF"/>
    <w:rsid w:val="001B7B95"/>
    <w:rsid w:val="001C1B8D"/>
    <w:rsid w:val="001C362A"/>
    <w:rsid w:val="001D04AF"/>
    <w:rsid w:val="001D1C2F"/>
    <w:rsid w:val="001D3004"/>
    <w:rsid w:val="001D5A02"/>
    <w:rsid w:val="001D5AFE"/>
    <w:rsid w:val="001E3244"/>
    <w:rsid w:val="001E4096"/>
    <w:rsid w:val="001E43BE"/>
    <w:rsid w:val="001E479D"/>
    <w:rsid w:val="001E5F03"/>
    <w:rsid w:val="001F1BBA"/>
    <w:rsid w:val="001F2572"/>
    <w:rsid w:val="001F3EDA"/>
    <w:rsid w:val="001F67A2"/>
    <w:rsid w:val="00200022"/>
    <w:rsid w:val="002034F6"/>
    <w:rsid w:val="0020604A"/>
    <w:rsid w:val="002113A6"/>
    <w:rsid w:val="002114FE"/>
    <w:rsid w:val="0021162E"/>
    <w:rsid w:val="0021188E"/>
    <w:rsid w:val="002118C5"/>
    <w:rsid w:val="00211A0C"/>
    <w:rsid w:val="00221C46"/>
    <w:rsid w:val="00223781"/>
    <w:rsid w:val="002269CB"/>
    <w:rsid w:val="00230017"/>
    <w:rsid w:val="002314AB"/>
    <w:rsid w:val="00233ADA"/>
    <w:rsid w:val="00240C2B"/>
    <w:rsid w:val="00242221"/>
    <w:rsid w:val="00242C26"/>
    <w:rsid w:val="00242D12"/>
    <w:rsid w:val="00244F80"/>
    <w:rsid w:val="00245851"/>
    <w:rsid w:val="00246A1E"/>
    <w:rsid w:val="002479B7"/>
    <w:rsid w:val="00254BF7"/>
    <w:rsid w:val="002559E9"/>
    <w:rsid w:val="00255EEA"/>
    <w:rsid w:val="00260422"/>
    <w:rsid w:val="0026130B"/>
    <w:rsid w:val="00261D17"/>
    <w:rsid w:val="00262563"/>
    <w:rsid w:val="002632F7"/>
    <w:rsid w:val="00275AD2"/>
    <w:rsid w:val="0027626B"/>
    <w:rsid w:val="002806F1"/>
    <w:rsid w:val="002861FE"/>
    <w:rsid w:val="0029022B"/>
    <w:rsid w:val="00290CDB"/>
    <w:rsid w:val="00296861"/>
    <w:rsid w:val="002971C3"/>
    <w:rsid w:val="002A0188"/>
    <w:rsid w:val="002A5DBB"/>
    <w:rsid w:val="002B2503"/>
    <w:rsid w:val="002B2E9E"/>
    <w:rsid w:val="002B3FB4"/>
    <w:rsid w:val="002B7080"/>
    <w:rsid w:val="002C26C0"/>
    <w:rsid w:val="002C2BA4"/>
    <w:rsid w:val="002C62D8"/>
    <w:rsid w:val="002C72A8"/>
    <w:rsid w:val="002D332B"/>
    <w:rsid w:val="002D4B0C"/>
    <w:rsid w:val="002D7F04"/>
    <w:rsid w:val="002E0802"/>
    <w:rsid w:val="002E28D9"/>
    <w:rsid w:val="002E3DE4"/>
    <w:rsid w:val="002E5D2B"/>
    <w:rsid w:val="002F09D3"/>
    <w:rsid w:val="002F34B3"/>
    <w:rsid w:val="002F5B8F"/>
    <w:rsid w:val="003074DB"/>
    <w:rsid w:val="00307DCA"/>
    <w:rsid w:val="003159E0"/>
    <w:rsid w:val="0031615D"/>
    <w:rsid w:val="00325DFE"/>
    <w:rsid w:val="003271DC"/>
    <w:rsid w:val="00327EE6"/>
    <w:rsid w:val="00327FE2"/>
    <w:rsid w:val="00331486"/>
    <w:rsid w:val="003322FA"/>
    <w:rsid w:val="00332BA0"/>
    <w:rsid w:val="00334EB9"/>
    <w:rsid w:val="00336FDD"/>
    <w:rsid w:val="00340445"/>
    <w:rsid w:val="00340A70"/>
    <w:rsid w:val="00342E3F"/>
    <w:rsid w:val="003432C5"/>
    <w:rsid w:val="00345A12"/>
    <w:rsid w:val="0034741D"/>
    <w:rsid w:val="00353E48"/>
    <w:rsid w:val="003579EB"/>
    <w:rsid w:val="00360699"/>
    <w:rsid w:val="00360836"/>
    <w:rsid w:val="003626AC"/>
    <w:rsid w:val="00362E9B"/>
    <w:rsid w:val="0036492B"/>
    <w:rsid w:val="00365B50"/>
    <w:rsid w:val="003702D8"/>
    <w:rsid w:val="00370CEF"/>
    <w:rsid w:val="00371E89"/>
    <w:rsid w:val="00372131"/>
    <w:rsid w:val="00375BB8"/>
    <w:rsid w:val="0037621B"/>
    <w:rsid w:val="003766AF"/>
    <w:rsid w:val="003801CF"/>
    <w:rsid w:val="0038116D"/>
    <w:rsid w:val="00381329"/>
    <w:rsid w:val="00391CD2"/>
    <w:rsid w:val="003934D7"/>
    <w:rsid w:val="00393AF4"/>
    <w:rsid w:val="00393BC1"/>
    <w:rsid w:val="00394132"/>
    <w:rsid w:val="00394F1F"/>
    <w:rsid w:val="0039572A"/>
    <w:rsid w:val="00396C05"/>
    <w:rsid w:val="003A094B"/>
    <w:rsid w:val="003A1306"/>
    <w:rsid w:val="003A1B53"/>
    <w:rsid w:val="003A3927"/>
    <w:rsid w:val="003B09A6"/>
    <w:rsid w:val="003B1713"/>
    <w:rsid w:val="003B19CF"/>
    <w:rsid w:val="003B446B"/>
    <w:rsid w:val="003B4C1A"/>
    <w:rsid w:val="003B653F"/>
    <w:rsid w:val="003B75C0"/>
    <w:rsid w:val="003C0949"/>
    <w:rsid w:val="003C5FA9"/>
    <w:rsid w:val="003D07D4"/>
    <w:rsid w:val="003D0CC6"/>
    <w:rsid w:val="003D3FB0"/>
    <w:rsid w:val="003E26DB"/>
    <w:rsid w:val="003E55CC"/>
    <w:rsid w:val="003E67AC"/>
    <w:rsid w:val="003F3073"/>
    <w:rsid w:val="003F676E"/>
    <w:rsid w:val="003F6D41"/>
    <w:rsid w:val="003F79BD"/>
    <w:rsid w:val="003F7EB9"/>
    <w:rsid w:val="004006B6"/>
    <w:rsid w:val="004025C4"/>
    <w:rsid w:val="00402CE3"/>
    <w:rsid w:val="00403BB7"/>
    <w:rsid w:val="00403E40"/>
    <w:rsid w:val="0041441C"/>
    <w:rsid w:val="0041482B"/>
    <w:rsid w:val="004166EE"/>
    <w:rsid w:val="004205E5"/>
    <w:rsid w:val="00421365"/>
    <w:rsid w:val="0042235E"/>
    <w:rsid w:val="00424116"/>
    <w:rsid w:val="00424506"/>
    <w:rsid w:val="004256A7"/>
    <w:rsid w:val="00430035"/>
    <w:rsid w:val="004312AA"/>
    <w:rsid w:val="00431D87"/>
    <w:rsid w:val="00432213"/>
    <w:rsid w:val="00436C01"/>
    <w:rsid w:val="00437D4D"/>
    <w:rsid w:val="00441405"/>
    <w:rsid w:val="0044180C"/>
    <w:rsid w:val="00441F5D"/>
    <w:rsid w:val="00444744"/>
    <w:rsid w:val="00445FD2"/>
    <w:rsid w:val="0045152D"/>
    <w:rsid w:val="00454BD6"/>
    <w:rsid w:val="00457CCE"/>
    <w:rsid w:val="004602AC"/>
    <w:rsid w:val="004612CD"/>
    <w:rsid w:val="0046199A"/>
    <w:rsid w:val="004649CB"/>
    <w:rsid w:val="004658F7"/>
    <w:rsid w:val="004710D4"/>
    <w:rsid w:val="004713B1"/>
    <w:rsid w:val="00471718"/>
    <w:rsid w:val="00472151"/>
    <w:rsid w:val="004727E0"/>
    <w:rsid w:val="00474C46"/>
    <w:rsid w:val="00475D8F"/>
    <w:rsid w:val="00477117"/>
    <w:rsid w:val="00477F44"/>
    <w:rsid w:val="00477F84"/>
    <w:rsid w:val="0048024C"/>
    <w:rsid w:val="00480A90"/>
    <w:rsid w:val="00482ABB"/>
    <w:rsid w:val="00485631"/>
    <w:rsid w:val="004906FE"/>
    <w:rsid w:val="00494982"/>
    <w:rsid w:val="00497B6B"/>
    <w:rsid w:val="004A1171"/>
    <w:rsid w:val="004A32E7"/>
    <w:rsid w:val="004A511C"/>
    <w:rsid w:val="004A6034"/>
    <w:rsid w:val="004A6339"/>
    <w:rsid w:val="004A69CA"/>
    <w:rsid w:val="004A6CBD"/>
    <w:rsid w:val="004A7468"/>
    <w:rsid w:val="004B1BB4"/>
    <w:rsid w:val="004B27AE"/>
    <w:rsid w:val="004B48FC"/>
    <w:rsid w:val="004B4E23"/>
    <w:rsid w:val="004C1A0A"/>
    <w:rsid w:val="004C1AA1"/>
    <w:rsid w:val="004C75F2"/>
    <w:rsid w:val="004D3F7A"/>
    <w:rsid w:val="004D501B"/>
    <w:rsid w:val="004D62F1"/>
    <w:rsid w:val="004E09E8"/>
    <w:rsid w:val="004E21CE"/>
    <w:rsid w:val="004E2A9E"/>
    <w:rsid w:val="004E3E56"/>
    <w:rsid w:val="004E5669"/>
    <w:rsid w:val="004E5BEA"/>
    <w:rsid w:val="004E700B"/>
    <w:rsid w:val="004F0BA5"/>
    <w:rsid w:val="004F32BA"/>
    <w:rsid w:val="004F5F5E"/>
    <w:rsid w:val="004F7CC9"/>
    <w:rsid w:val="0050151D"/>
    <w:rsid w:val="00501C78"/>
    <w:rsid w:val="0050356C"/>
    <w:rsid w:val="00507E1E"/>
    <w:rsid w:val="00511F0A"/>
    <w:rsid w:val="00515C62"/>
    <w:rsid w:val="0051643A"/>
    <w:rsid w:val="005173B5"/>
    <w:rsid w:val="005213E4"/>
    <w:rsid w:val="0052506A"/>
    <w:rsid w:val="00526897"/>
    <w:rsid w:val="00530A9C"/>
    <w:rsid w:val="00531104"/>
    <w:rsid w:val="00532BF0"/>
    <w:rsid w:val="00534A18"/>
    <w:rsid w:val="00537B70"/>
    <w:rsid w:val="005448EE"/>
    <w:rsid w:val="00547809"/>
    <w:rsid w:val="00552EF6"/>
    <w:rsid w:val="00553AE1"/>
    <w:rsid w:val="005557B2"/>
    <w:rsid w:val="00556FD4"/>
    <w:rsid w:val="005570A7"/>
    <w:rsid w:val="005576F9"/>
    <w:rsid w:val="005649B1"/>
    <w:rsid w:val="005661D6"/>
    <w:rsid w:val="0057053E"/>
    <w:rsid w:val="00572DE5"/>
    <w:rsid w:val="00575E90"/>
    <w:rsid w:val="0057615C"/>
    <w:rsid w:val="0057663A"/>
    <w:rsid w:val="00580A57"/>
    <w:rsid w:val="00583829"/>
    <w:rsid w:val="0058481C"/>
    <w:rsid w:val="00587167"/>
    <w:rsid w:val="00591787"/>
    <w:rsid w:val="00592ADE"/>
    <w:rsid w:val="005977CD"/>
    <w:rsid w:val="005A289C"/>
    <w:rsid w:val="005B04D1"/>
    <w:rsid w:val="005B325A"/>
    <w:rsid w:val="005B3C26"/>
    <w:rsid w:val="005C29AF"/>
    <w:rsid w:val="005C4E98"/>
    <w:rsid w:val="005C671F"/>
    <w:rsid w:val="005C6CF1"/>
    <w:rsid w:val="005C7538"/>
    <w:rsid w:val="005C78DF"/>
    <w:rsid w:val="005D3E0D"/>
    <w:rsid w:val="005D46AB"/>
    <w:rsid w:val="005D77F0"/>
    <w:rsid w:val="005E0087"/>
    <w:rsid w:val="005E2033"/>
    <w:rsid w:val="005E449C"/>
    <w:rsid w:val="005E5505"/>
    <w:rsid w:val="005E64B3"/>
    <w:rsid w:val="005F016E"/>
    <w:rsid w:val="005F7D2C"/>
    <w:rsid w:val="00601B45"/>
    <w:rsid w:val="0060364C"/>
    <w:rsid w:val="00610A02"/>
    <w:rsid w:val="00610E9C"/>
    <w:rsid w:val="00612E66"/>
    <w:rsid w:val="00615F82"/>
    <w:rsid w:val="00621B90"/>
    <w:rsid w:val="00625034"/>
    <w:rsid w:val="00631EF1"/>
    <w:rsid w:val="00634660"/>
    <w:rsid w:val="00634D3E"/>
    <w:rsid w:val="0063747A"/>
    <w:rsid w:val="00637CE7"/>
    <w:rsid w:val="00640ABD"/>
    <w:rsid w:val="00642240"/>
    <w:rsid w:val="00643158"/>
    <w:rsid w:val="0064376E"/>
    <w:rsid w:val="00643E8B"/>
    <w:rsid w:val="00644BB7"/>
    <w:rsid w:val="00647968"/>
    <w:rsid w:val="0065315C"/>
    <w:rsid w:val="0065399A"/>
    <w:rsid w:val="00653A3E"/>
    <w:rsid w:val="00654060"/>
    <w:rsid w:val="006541AB"/>
    <w:rsid w:val="00655864"/>
    <w:rsid w:val="00656FD0"/>
    <w:rsid w:val="00662B5F"/>
    <w:rsid w:val="00662E3C"/>
    <w:rsid w:val="00664A14"/>
    <w:rsid w:val="00667049"/>
    <w:rsid w:val="006714F1"/>
    <w:rsid w:val="0067227F"/>
    <w:rsid w:val="00673509"/>
    <w:rsid w:val="006812B5"/>
    <w:rsid w:val="00687850"/>
    <w:rsid w:val="00690D62"/>
    <w:rsid w:val="006913EC"/>
    <w:rsid w:val="006932D6"/>
    <w:rsid w:val="0069444C"/>
    <w:rsid w:val="0069574B"/>
    <w:rsid w:val="0069733F"/>
    <w:rsid w:val="006A027C"/>
    <w:rsid w:val="006A13D0"/>
    <w:rsid w:val="006A18E6"/>
    <w:rsid w:val="006A2BB3"/>
    <w:rsid w:val="006A74EB"/>
    <w:rsid w:val="006B235F"/>
    <w:rsid w:val="006B2AC9"/>
    <w:rsid w:val="006B2C36"/>
    <w:rsid w:val="006B71B5"/>
    <w:rsid w:val="006B7BD5"/>
    <w:rsid w:val="006B7D26"/>
    <w:rsid w:val="006C2195"/>
    <w:rsid w:val="006C2B2F"/>
    <w:rsid w:val="006C3CA1"/>
    <w:rsid w:val="006D3078"/>
    <w:rsid w:val="006D46B8"/>
    <w:rsid w:val="006E0632"/>
    <w:rsid w:val="006E0CAE"/>
    <w:rsid w:val="006E11A6"/>
    <w:rsid w:val="006E3340"/>
    <w:rsid w:val="006F0550"/>
    <w:rsid w:val="006F438B"/>
    <w:rsid w:val="006F5A9F"/>
    <w:rsid w:val="006F5EC2"/>
    <w:rsid w:val="006F61EC"/>
    <w:rsid w:val="006F7947"/>
    <w:rsid w:val="0070268C"/>
    <w:rsid w:val="0070577B"/>
    <w:rsid w:val="0070597A"/>
    <w:rsid w:val="00707321"/>
    <w:rsid w:val="00710899"/>
    <w:rsid w:val="00714200"/>
    <w:rsid w:val="00714CE3"/>
    <w:rsid w:val="0071629D"/>
    <w:rsid w:val="00721864"/>
    <w:rsid w:val="00721EE5"/>
    <w:rsid w:val="00723B10"/>
    <w:rsid w:val="00726938"/>
    <w:rsid w:val="00727D0D"/>
    <w:rsid w:val="00732709"/>
    <w:rsid w:val="007338EA"/>
    <w:rsid w:val="00733F1E"/>
    <w:rsid w:val="007378E8"/>
    <w:rsid w:val="007402A0"/>
    <w:rsid w:val="0074128E"/>
    <w:rsid w:val="00744252"/>
    <w:rsid w:val="0074439F"/>
    <w:rsid w:val="00744C5F"/>
    <w:rsid w:val="00745281"/>
    <w:rsid w:val="00751DDA"/>
    <w:rsid w:val="00753585"/>
    <w:rsid w:val="00753BE7"/>
    <w:rsid w:val="00753E8E"/>
    <w:rsid w:val="007573EA"/>
    <w:rsid w:val="007609BC"/>
    <w:rsid w:val="0076616F"/>
    <w:rsid w:val="00770138"/>
    <w:rsid w:val="007729B5"/>
    <w:rsid w:val="0077306B"/>
    <w:rsid w:val="00773B88"/>
    <w:rsid w:val="0077570D"/>
    <w:rsid w:val="00780282"/>
    <w:rsid w:val="00781DC5"/>
    <w:rsid w:val="0078214B"/>
    <w:rsid w:val="00784BF9"/>
    <w:rsid w:val="00797A1A"/>
    <w:rsid w:val="007A08F8"/>
    <w:rsid w:val="007A42CC"/>
    <w:rsid w:val="007A438F"/>
    <w:rsid w:val="007A7475"/>
    <w:rsid w:val="007B1464"/>
    <w:rsid w:val="007B32FD"/>
    <w:rsid w:val="007B6DFB"/>
    <w:rsid w:val="007B7E39"/>
    <w:rsid w:val="007C3595"/>
    <w:rsid w:val="007C6884"/>
    <w:rsid w:val="007D0ED7"/>
    <w:rsid w:val="007D30B1"/>
    <w:rsid w:val="007D42E8"/>
    <w:rsid w:val="007D495A"/>
    <w:rsid w:val="007D4EE1"/>
    <w:rsid w:val="007D625A"/>
    <w:rsid w:val="007D6827"/>
    <w:rsid w:val="007D7E14"/>
    <w:rsid w:val="007E0BB6"/>
    <w:rsid w:val="007E0FB7"/>
    <w:rsid w:val="007E51A0"/>
    <w:rsid w:val="007F1D56"/>
    <w:rsid w:val="007F50D6"/>
    <w:rsid w:val="007F5243"/>
    <w:rsid w:val="007F53B7"/>
    <w:rsid w:val="007F5486"/>
    <w:rsid w:val="00803C44"/>
    <w:rsid w:val="008053E4"/>
    <w:rsid w:val="00805926"/>
    <w:rsid w:val="0080629D"/>
    <w:rsid w:val="00807657"/>
    <w:rsid w:val="0081139D"/>
    <w:rsid w:val="0081219D"/>
    <w:rsid w:val="00814180"/>
    <w:rsid w:val="008142C6"/>
    <w:rsid w:val="008167B3"/>
    <w:rsid w:val="00820474"/>
    <w:rsid w:val="00825935"/>
    <w:rsid w:val="00825E40"/>
    <w:rsid w:val="00825EAA"/>
    <w:rsid w:val="0083094E"/>
    <w:rsid w:val="00831277"/>
    <w:rsid w:val="00832F93"/>
    <w:rsid w:val="008345F0"/>
    <w:rsid w:val="00836A0C"/>
    <w:rsid w:val="00847217"/>
    <w:rsid w:val="00847CEC"/>
    <w:rsid w:val="00850252"/>
    <w:rsid w:val="008528DE"/>
    <w:rsid w:val="008562AA"/>
    <w:rsid w:val="00862BC1"/>
    <w:rsid w:val="008700D4"/>
    <w:rsid w:val="00871094"/>
    <w:rsid w:val="00874D3D"/>
    <w:rsid w:val="00874FDE"/>
    <w:rsid w:val="0087556A"/>
    <w:rsid w:val="00875FCE"/>
    <w:rsid w:val="00876B90"/>
    <w:rsid w:val="00880B86"/>
    <w:rsid w:val="00880BCF"/>
    <w:rsid w:val="008841F7"/>
    <w:rsid w:val="0088510A"/>
    <w:rsid w:val="00885D7C"/>
    <w:rsid w:val="00890793"/>
    <w:rsid w:val="00891BF6"/>
    <w:rsid w:val="00893438"/>
    <w:rsid w:val="00893A83"/>
    <w:rsid w:val="00893C69"/>
    <w:rsid w:val="0089538A"/>
    <w:rsid w:val="00896945"/>
    <w:rsid w:val="008B294F"/>
    <w:rsid w:val="008B5242"/>
    <w:rsid w:val="008C0836"/>
    <w:rsid w:val="008C35FF"/>
    <w:rsid w:val="008D0E9A"/>
    <w:rsid w:val="008D19CA"/>
    <w:rsid w:val="008D1F1F"/>
    <w:rsid w:val="008E0315"/>
    <w:rsid w:val="008E3C17"/>
    <w:rsid w:val="008E443B"/>
    <w:rsid w:val="008E506F"/>
    <w:rsid w:val="008E5DB9"/>
    <w:rsid w:val="008F02C1"/>
    <w:rsid w:val="008F32BA"/>
    <w:rsid w:val="008F5312"/>
    <w:rsid w:val="008F658E"/>
    <w:rsid w:val="009007DD"/>
    <w:rsid w:val="00902606"/>
    <w:rsid w:val="00903DEE"/>
    <w:rsid w:val="0090751A"/>
    <w:rsid w:val="00912B48"/>
    <w:rsid w:val="0091382B"/>
    <w:rsid w:val="0091779E"/>
    <w:rsid w:val="009177B4"/>
    <w:rsid w:val="00917C42"/>
    <w:rsid w:val="00920965"/>
    <w:rsid w:val="009243B4"/>
    <w:rsid w:val="00924B86"/>
    <w:rsid w:val="00924BD6"/>
    <w:rsid w:val="00925BEC"/>
    <w:rsid w:val="00930734"/>
    <w:rsid w:val="00930D6C"/>
    <w:rsid w:val="00931C2A"/>
    <w:rsid w:val="0093471F"/>
    <w:rsid w:val="0093582B"/>
    <w:rsid w:val="009369F7"/>
    <w:rsid w:val="00940A91"/>
    <w:rsid w:val="00943313"/>
    <w:rsid w:val="009441CF"/>
    <w:rsid w:val="00947990"/>
    <w:rsid w:val="00953692"/>
    <w:rsid w:val="00960A17"/>
    <w:rsid w:val="00961BC4"/>
    <w:rsid w:val="00961DD5"/>
    <w:rsid w:val="009629F8"/>
    <w:rsid w:val="00962ED5"/>
    <w:rsid w:val="009655B9"/>
    <w:rsid w:val="0097013E"/>
    <w:rsid w:val="00970437"/>
    <w:rsid w:val="00971CDA"/>
    <w:rsid w:val="00974629"/>
    <w:rsid w:val="009749CD"/>
    <w:rsid w:val="00974C7D"/>
    <w:rsid w:val="00975CC8"/>
    <w:rsid w:val="0097602D"/>
    <w:rsid w:val="00982C49"/>
    <w:rsid w:val="009832D2"/>
    <w:rsid w:val="00984382"/>
    <w:rsid w:val="00986120"/>
    <w:rsid w:val="009869C1"/>
    <w:rsid w:val="0099074E"/>
    <w:rsid w:val="00992F56"/>
    <w:rsid w:val="00993AF0"/>
    <w:rsid w:val="00997111"/>
    <w:rsid w:val="009A0EB3"/>
    <w:rsid w:val="009A2E74"/>
    <w:rsid w:val="009A6B38"/>
    <w:rsid w:val="009B2F1D"/>
    <w:rsid w:val="009B32C5"/>
    <w:rsid w:val="009B3F1F"/>
    <w:rsid w:val="009C58A4"/>
    <w:rsid w:val="009C6C4C"/>
    <w:rsid w:val="009D2026"/>
    <w:rsid w:val="009D299F"/>
    <w:rsid w:val="009D2BFB"/>
    <w:rsid w:val="009D3986"/>
    <w:rsid w:val="009D5D91"/>
    <w:rsid w:val="009E29B3"/>
    <w:rsid w:val="009E35DE"/>
    <w:rsid w:val="009E4749"/>
    <w:rsid w:val="009F3C6F"/>
    <w:rsid w:val="009F41E0"/>
    <w:rsid w:val="00A001A9"/>
    <w:rsid w:val="00A019CF"/>
    <w:rsid w:val="00A025E2"/>
    <w:rsid w:val="00A02F95"/>
    <w:rsid w:val="00A123C7"/>
    <w:rsid w:val="00A12A5C"/>
    <w:rsid w:val="00A1501D"/>
    <w:rsid w:val="00A22417"/>
    <w:rsid w:val="00A300F4"/>
    <w:rsid w:val="00A301BC"/>
    <w:rsid w:val="00A314FA"/>
    <w:rsid w:val="00A31FCA"/>
    <w:rsid w:val="00A33100"/>
    <w:rsid w:val="00A36FE1"/>
    <w:rsid w:val="00A42176"/>
    <w:rsid w:val="00A432EE"/>
    <w:rsid w:val="00A43961"/>
    <w:rsid w:val="00A50C58"/>
    <w:rsid w:val="00A511FD"/>
    <w:rsid w:val="00A51796"/>
    <w:rsid w:val="00A56857"/>
    <w:rsid w:val="00A611B1"/>
    <w:rsid w:val="00A61E0D"/>
    <w:rsid w:val="00A61F4A"/>
    <w:rsid w:val="00A67063"/>
    <w:rsid w:val="00A673F8"/>
    <w:rsid w:val="00A72450"/>
    <w:rsid w:val="00A7272C"/>
    <w:rsid w:val="00A7402A"/>
    <w:rsid w:val="00A749E7"/>
    <w:rsid w:val="00A7765E"/>
    <w:rsid w:val="00A841FB"/>
    <w:rsid w:val="00A844C5"/>
    <w:rsid w:val="00A85C3B"/>
    <w:rsid w:val="00A9039B"/>
    <w:rsid w:val="00A90A83"/>
    <w:rsid w:val="00A951A3"/>
    <w:rsid w:val="00A971CC"/>
    <w:rsid w:val="00AA4C16"/>
    <w:rsid w:val="00AA6DF1"/>
    <w:rsid w:val="00AB3D6F"/>
    <w:rsid w:val="00AB4942"/>
    <w:rsid w:val="00AC1BAE"/>
    <w:rsid w:val="00AC1D8E"/>
    <w:rsid w:val="00AC377E"/>
    <w:rsid w:val="00AD489F"/>
    <w:rsid w:val="00AE0897"/>
    <w:rsid w:val="00AE6A55"/>
    <w:rsid w:val="00AE7640"/>
    <w:rsid w:val="00AF00E4"/>
    <w:rsid w:val="00AF01B9"/>
    <w:rsid w:val="00AF109C"/>
    <w:rsid w:val="00AF13A9"/>
    <w:rsid w:val="00AF2378"/>
    <w:rsid w:val="00AF37CD"/>
    <w:rsid w:val="00AF3DAB"/>
    <w:rsid w:val="00AF6D77"/>
    <w:rsid w:val="00B00FC0"/>
    <w:rsid w:val="00B01491"/>
    <w:rsid w:val="00B12793"/>
    <w:rsid w:val="00B16AA1"/>
    <w:rsid w:val="00B20DC0"/>
    <w:rsid w:val="00B22A70"/>
    <w:rsid w:val="00B25A95"/>
    <w:rsid w:val="00B25F70"/>
    <w:rsid w:val="00B26390"/>
    <w:rsid w:val="00B31811"/>
    <w:rsid w:val="00B31DE1"/>
    <w:rsid w:val="00B31E9A"/>
    <w:rsid w:val="00B332D1"/>
    <w:rsid w:val="00B35D0D"/>
    <w:rsid w:val="00B40CD8"/>
    <w:rsid w:val="00B41AE4"/>
    <w:rsid w:val="00B42723"/>
    <w:rsid w:val="00B45359"/>
    <w:rsid w:val="00B45B93"/>
    <w:rsid w:val="00B46360"/>
    <w:rsid w:val="00B5346E"/>
    <w:rsid w:val="00B53DAD"/>
    <w:rsid w:val="00B55934"/>
    <w:rsid w:val="00B5620C"/>
    <w:rsid w:val="00B5661D"/>
    <w:rsid w:val="00B60E61"/>
    <w:rsid w:val="00B71092"/>
    <w:rsid w:val="00B80314"/>
    <w:rsid w:val="00B825F8"/>
    <w:rsid w:val="00B84410"/>
    <w:rsid w:val="00B8487E"/>
    <w:rsid w:val="00B860E1"/>
    <w:rsid w:val="00B917C8"/>
    <w:rsid w:val="00B95956"/>
    <w:rsid w:val="00B96DEC"/>
    <w:rsid w:val="00B9792E"/>
    <w:rsid w:val="00BA0CB7"/>
    <w:rsid w:val="00BA3F91"/>
    <w:rsid w:val="00BA629A"/>
    <w:rsid w:val="00BA6BDD"/>
    <w:rsid w:val="00BA758E"/>
    <w:rsid w:val="00BB1264"/>
    <w:rsid w:val="00BB1327"/>
    <w:rsid w:val="00BB2A1B"/>
    <w:rsid w:val="00BB2D94"/>
    <w:rsid w:val="00BB32DF"/>
    <w:rsid w:val="00BB59EA"/>
    <w:rsid w:val="00BB5D8D"/>
    <w:rsid w:val="00BB7817"/>
    <w:rsid w:val="00BC1136"/>
    <w:rsid w:val="00BC1378"/>
    <w:rsid w:val="00BC2551"/>
    <w:rsid w:val="00BC344B"/>
    <w:rsid w:val="00BC404D"/>
    <w:rsid w:val="00BC4BA5"/>
    <w:rsid w:val="00BC5BAC"/>
    <w:rsid w:val="00BD4B04"/>
    <w:rsid w:val="00BD4F9F"/>
    <w:rsid w:val="00BD7017"/>
    <w:rsid w:val="00BE0219"/>
    <w:rsid w:val="00BE19BB"/>
    <w:rsid w:val="00BE66DE"/>
    <w:rsid w:val="00BF0769"/>
    <w:rsid w:val="00BF6427"/>
    <w:rsid w:val="00C00E4D"/>
    <w:rsid w:val="00C0185E"/>
    <w:rsid w:val="00C01B42"/>
    <w:rsid w:val="00C0200F"/>
    <w:rsid w:val="00C04A94"/>
    <w:rsid w:val="00C07BA2"/>
    <w:rsid w:val="00C10B96"/>
    <w:rsid w:val="00C12495"/>
    <w:rsid w:val="00C13677"/>
    <w:rsid w:val="00C13A55"/>
    <w:rsid w:val="00C17969"/>
    <w:rsid w:val="00C17B84"/>
    <w:rsid w:val="00C217AB"/>
    <w:rsid w:val="00C21832"/>
    <w:rsid w:val="00C23733"/>
    <w:rsid w:val="00C24C4A"/>
    <w:rsid w:val="00C345B6"/>
    <w:rsid w:val="00C37DF6"/>
    <w:rsid w:val="00C43180"/>
    <w:rsid w:val="00C4434C"/>
    <w:rsid w:val="00C52F86"/>
    <w:rsid w:val="00C57012"/>
    <w:rsid w:val="00C607EA"/>
    <w:rsid w:val="00C660C1"/>
    <w:rsid w:val="00C672CC"/>
    <w:rsid w:val="00C71D7A"/>
    <w:rsid w:val="00C757C1"/>
    <w:rsid w:val="00C763D5"/>
    <w:rsid w:val="00C8075D"/>
    <w:rsid w:val="00C85343"/>
    <w:rsid w:val="00C85D2B"/>
    <w:rsid w:val="00C941A1"/>
    <w:rsid w:val="00CA270E"/>
    <w:rsid w:val="00CA7415"/>
    <w:rsid w:val="00CA7BA4"/>
    <w:rsid w:val="00CB0CAA"/>
    <w:rsid w:val="00CB19E2"/>
    <w:rsid w:val="00CB399B"/>
    <w:rsid w:val="00CC30ED"/>
    <w:rsid w:val="00CC36DA"/>
    <w:rsid w:val="00CC7DE5"/>
    <w:rsid w:val="00CD2EAF"/>
    <w:rsid w:val="00CD36C4"/>
    <w:rsid w:val="00CD6D96"/>
    <w:rsid w:val="00CD7BDA"/>
    <w:rsid w:val="00CE061B"/>
    <w:rsid w:val="00CE0AFF"/>
    <w:rsid w:val="00CE0C93"/>
    <w:rsid w:val="00CE1A47"/>
    <w:rsid w:val="00CE2442"/>
    <w:rsid w:val="00CE4B89"/>
    <w:rsid w:val="00CE6D12"/>
    <w:rsid w:val="00CE71FA"/>
    <w:rsid w:val="00CF0C10"/>
    <w:rsid w:val="00CF26AC"/>
    <w:rsid w:val="00CF36C3"/>
    <w:rsid w:val="00CF5387"/>
    <w:rsid w:val="00CF56EB"/>
    <w:rsid w:val="00CF7BF9"/>
    <w:rsid w:val="00CF7D29"/>
    <w:rsid w:val="00D000E7"/>
    <w:rsid w:val="00D01639"/>
    <w:rsid w:val="00D03BB9"/>
    <w:rsid w:val="00D110F1"/>
    <w:rsid w:val="00D11DB9"/>
    <w:rsid w:val="00D13221"/>
    <w:rsid w:val="00D13639"/>
    <w:rsid w:val="00D13AC0"/>
    <w:rsid w:val="00D14DB7"/>
    <w:rsid w:val="00D151B0"/>
    <w:rsid w:val="00D15D70"/>
    <w:rsid w:val="00D24F7A"/>
    <w:rsid w:val="00D26290"/>
    <w:rsid w:val="00D27BB3"/>
    <w:rsid w:val="00D31B03"/>
    <w:rsid w:val="00D33AD9"/>
    <w:rsid w:val="00D35757"/>
    <w:rsid w:val="00D400BE"/>
    <w:rsid w:val="00D44361"/>
    <w:rsid w:val="00D51756"/>
    <w:rsid w:val="00D53812"/>
    <w:rsid w:val="00D57F43"/>
    <w:rsid w:val="00D61451"/>
    <w:rsid w:val="00D61E78"/>
    <w:rsid w:val="00D62D8D"/>
    <w:rsid w:val="00D66D4E"/>
    <w:rsid w:val="00D676E4"/>
    <w:rsid w:val="00D7168F"/>
    <w:rsid w:val="00D71B2B"/>
    <w:rsid w:val="00D73367"/>
    <w:rsid w:val="00D76720"/>
    <w:rsid w:val="00D77630"/>
    <w:rsid w:val="00D820AD"/>
    <w:rsid w:val="00D83459"/>
    <w:rsid w:val="00D8444E"/>
    <w:rsid w:val="00D84BE1"/>
    <w:rsid w:val="00D879D0"/>
    <w:rsid w:val="00D91082"/>
    <w:rsid w:val="00D9115F"/>
    <w:rsid w:val="00D93207"/>
    <w:rsid w:val="00D9637D"/>
    <w:rsid w:val="00D9681E"/>
    <w:rsid w:val="00DA33E5"/>
    <w:rsid w:val="00DA4668"/>
    <w:rsid w:val="00DA6FB5"/>
    <w:rsid w:val="00DB39FF"/>
    <w:rsid w:val="00DB64D5"/>
    <w:rsid w:val="00DB6707"/>
    <w:rsid w:val="00DC04B1"/>
    <w:rsid w:val="00DC1027"/>
    <w:rsid w:val="00DC2506"/>
    <w:rsid w:val="00DC2B8B"/>
    <w:rsid w:val="00DD28C5"/>
    <w:rsid w:val="00DD3EE2"/>
    <w:rsid w:val="00DD5FA9"/>
    <w:rsid w:val="00DD6C1A"/>
    <w:rsid w:val="00DE2953"/>
    <w:rsid w:val="00DE6267"/>
    <w:rsid w:val="00DE6DDD"/>
    <w:rsid w:val="00DE74E3"/>
    <w:rsid w:val="00DF3051"/>
    <w:rsid w:val="00DF3D95"/>
    <w:rsid w:val="00DF5873"/>
    <w:rsid w:val="00DF5F28"/>
    <w:rsid w:val="00E036B7"/>
    <w:rsid w:val="00E036EA"/>
    <w:rsid w:val="00E0433C"/>
    <w:rsid w:val="00E05169"/>
    <w:rsid w:val="00E06900"/>
    <w:rsid w:val="00E10672"/>
    <w:rsid w:val="00E12BD4"/>
    <w:rsid w:val="00E12F1C"/>
    <w:rsid w:val="00E214AA"/>
    <w:rsid w:val="00E21B2F"/>
    <w:rsid w:val="00E22EB9"/>
    <w:rsid w:val="00E27158"/>
    <w:rsid w:val="00E308DF"/>
    <w:rsid w:val="00E337C6"/>
    <w:rsid w:val="00E3507D"/>
    <w:rsid w:val="00E37894"/>
    <w:rsid w:val="00E42A3D"/>
    <w:rsid w:val="00E443F5"/>
    <w:rsid w:val="00E472C7"/>
    <w:rsid w:val="00E51D58"/>
    <w:rsid w:val="00E5224E"/>
    <w:rsid w:val="00E54BA2"/>
    <w:rsid w:val="00E57165"/>
    <w:rsid w:val="00E70FF5"/>
    <w:rsid w:val="00E722C1"/>
    <w:rsid w:val="00E7379C"/>
    <w:rsid w:val="00E738CD"/>
    <w:rsid w:val="00E73EC8"/>
    <w:rsid w:val="00E75DE0"/>
    <w:rsid w:val="00E7746E"/>
    <w:rsid w:val="00E80B5E"/>
    <w:rsid w:val="00E824C0"/>
    <w:rsid w:val="00E86754"/>
    <w:rsid w:val="00E86F53"/>
    <w:rsid w:val="00E8713F"/>
    <w:rsid w:val="00E901A5"/>
    <w:rsid w:val="00E90FAF"/>
    <w:rsid w:val="00E92263"/>
    <w:rsid w:val="00E929AE"/>
    <w:rsid w:val="00E94752"/>
    <w:rsid w:val="00E9614C"/>
    <w:rsid w:val="00EA03CE"/>
    <w:rsid w:val="00EA4887"/>
    <w:rsid w:val="00EA5187"/>
    <w:rsid w:val="00EB0BBB"/>
    <w:rsid w:val="00EB12DB"/>
    <w:rsid w:val="00EB684D"/>
    <w:rsid w:val="00EC0788"/>
    <w:rsid w:val="00EC0A64"/>
    <w:rsid w:val="00EC1C79"/>
    <w:rsid w:val="00EC51C3"/>
    <w:rsid w:val="00EC5698"/>
    <w:rsid w:val="00EC57D0"/>
    <w:rsid w:val="00EC5D44"/>
    <w:rsid w:val="00EC6A9B"/>
    <w:rsid w:val="00ED1613"/>
    <w:rsid w:val="00ED27CC"/>
    <w:rsid w:val="00ED2B6C"/>
    <w:rsid w:val="00ED46FF"/>
    <w:rsid w:val="00ED4A05"/>
    <w:rsid w:val="00ED4AC1"/>
    <w:rsid w:val="00ED75DC"/>
    <w:rsid w:val="00EE1F6B"/>
    <w:rsid w:val="00EE2355"/>
    <w:rsid w:val="00EE3802"/>
    <w:rsid w:val="00EE423F"/>
    <w:rsid w:val="00EF1D7E"/>
    <w:rsid w:val="00EF2C68"/>
    <w:rsid w:val="00EF3760"/>
    <w:rsid w:val="00EF3D52"/>
    <w:rsid w:val="00EF4270"/>
    <w:rsid w:val="00EF5748"/>
    <w:rsid w:val="00EF721E"/>
    <w:rsid w:val="00F02EC6"/>
    <w:rsid w:val="00F03846"/>
    <w:rsid w:val="00F057A8"/>
    <w:rsid w:val="00F06169"/>
    <w:rsid w:val="00F108D7"/>
    <w:rsid w:val="00F17602"/>
    <w:rsid w:val="00F17A5E"/>
    <w:rsid w:val="00F207BF"/>
    <w:rsid w:val="00F20A34"/>
    <w:rsid w:val="00F20EC4"/>
    <w:rsid w:val="00F213A7"/>
    <w:rsid w:val="00F2211E"/>
    <w:rsid w:val="00F26861"/>
    <w:rsid w:val="00F40FE1"/>
    <w:rsid w:val="00F45739"/>
    <w:rsid w:val="00F46619"/>
    <w:rsid w:val="00F507F2"/>
    <w:rsid w:val="00F51D8B"/>
    <w:rsid w:val="00F5446C"/>
    <w:rsid w:val="00F55632"/>
    <w:rsid w:val="00F615F7"/>
    <w:rsid w:val="00F70555"/>
    <w:rsid w:val="00F72C25"/>
    <w:rsid w:val="00F77001"/>
    <w:rsid w:val="00F775B9"/>
    <w:rsid w:val="00F77A06"/>
    <w:rsid w:val="00F8341C"/>
    <w:rsid w:val="00F861B1"/>
    <w:rsid w:val="00F8620F"/>
    <w:rsid w:val="00F86950"/>
    <w:rsid w:val="00F86C3A"/>
    <w:rsid w:val="00F94767"/>
    <w:rsid w:val="00FA298F"/>
    <w:rsid w:val="00FA3536"/>
    <w:rsid w:val="00FA4CC3"/>
    <w:rsid w:val="00FA51BE"/>
    <w:rsid w:val="00FA7886"/>
    <w:rsid w:val="00FB5221"/>
    <w:rsid w:val="00FC4206"/>
    <w:rsid w:val="00FC56CD"/>
    <w:rsid w:val="00FD14BC"/>
    <w:rsid w:val="00FD32CE"/>
    <w:rsid w:val="00FD5C62"/>
    <w:rsid w:val="00FD5FE6"/>
    <w:rsid w:val="00FE17F5"/>
    <w:rsid w:val="00FE1A72"/>
    <w:rsid w:val="00FE2E44"/>
    <w:rsid w:val="00FE3324"/>
    <w:rsid w:val="00FF04E4"/>
    <w:rsid w:val="00FF11F8"/>
    <w:rsid w:val="00FF1B35"/>
    <w:rsid w:val="00FF1BC3"/>
    <w:rsid w:val="00FF1CC5"/>
    <w:rsid w:val="00FF2404"/>
    <w:rsid w:val="00FF2742"/>
    <w:rsid w:val="00FF3C1D"/>
    <w:rsid w:val="00FF5AD3"/>
    <w:rsid w:val="00FF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0CD13"/>
  <w15:docId w15:val="{CCF8C795-78A3-465B-B0D1-BC0C1F79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6A7"/>
    <w:rPr>
      <w:color w:val="0000FF"/>
      <w:u w:val="single"/>
    </w:rPr>
  </w:style>
  <w:style w:type="character" w:customStyle="1" w:styleId="UnresolvedMention1">
    <w:name w:val="Unresolved Mention1"/>
    <w:basedOn w:val="DefaultParagraphFont"/>
    <w:uiPriority w:val="99"/>
    <w:semiHidden/>
    <w:unhideWhenUsed/>
    <w:rsid w:val="008053E4"/>
    <w:rPr>
      <w:color w:val="605E5C"/>
      <w:shd w:val="clear" w:color="auto" w:fill="E1DFDD"/>
    </w:rPr>
  </w:style>
  <w:style w:type="character" w:styleId="HTMLCode">
    <w:name w:val="HTML Code"/>
    <w:basedOn w:val="DefaultParagraphFont"/>
    <w:uiPriority w:val="99"/>
    <w:semiHidden/>
    <w:unhideWhenUsed/>
    <w:rsid w:val="005557B2"/>
    <w:rPr>
      <w:rFonts w:ascii="Courier New" w:eastAsia="Times New Roman" w:hAnsi="Courier New" w:cs="Courier New"/>
      <w:sz w:val="20"/>
      <w:szCs w:val="20"/>
    </w:rPr>
  </w:style>
  <w:style w:type="paragraph" w:styleId="Header">
    <w:name w:val="header"/>
    <w:basedOn w:val="Normal"/>
    <w:link w:val="HeaderChar"/>
    <w:uiPriority w:val="99"/>
    <w:unhideWhenUsed/>
    <w:rsid w:val="00890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793"/>
  </w:style>
  <w:style w:type="paragraph" w:styleId="Footer">
    <w:name w:val="footer"/>
    <w:basedOn w:val="Normal"/>
    <w:link w:val="FooterChar"/>
    <w:uiPriority w:val="99"/>
    <w:unhideWhenUsed/>
    <w:rsid w:val="0089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793"/>
  </w:style>
  <w:style w:type="character" w:customStyle="1" w:styleId="UnresolvedMention2">
    <w:name w:val="Unresolved Mention2"/>
    <w:basedOn w:val="DefaultParagraphFont"/>
    <w:uiPriority w:val="99"/>
    <w:semiHidden/>
    <w:unhideWhenUsed/>
    <w:rsid w:val="00A7402A"/>
    <w:rPr>
      <w:color w:val="605E5C"/>
      <w:shd w:val="clear" w:color="auto" w:fill="E1DFDD"/>
    </w:rPr>
  </w:style>
  <w:style w:type="character" w:customStyle="1" w:styleId="UnresolvedMention3">
    <w:name w:val="Unresolved Mention3"/>
    <w:basedOn w:val="DefaultParagraphFont"/>
    <w:uiPriority w:val="99"/>
    <w:semiHidden/>
    <w:unhideWhenUsed/>
    <w:rsid w:val="00DF5F28"/>
    <w:rPr>
      <w:color w:val="605E5C"/>
      <w:shd w:val="clear" w:color="auto" w:fill="E1DFDD"/>
    </w:rPr>
  </w:style>
  <w:style w:type="character" w:customStyle="1" w:styleId="UnresolvedMention4">
    <w:name w:val="Unresolved Mention4"/>
    <w:basedOn w:val="DefaultParagraphFont"/>
    <w:uiPriority w:val="99"/>
    <w:semiHidden/>
    <w:unhideWhenUsed/>
    <w:rsid w:val="0000030C"/>
    <w:rPr>
      <w:color w:val="605E5C"/>
      <w:shd w:val="clear" w:color="auto" w:fill="E1DFDD"/>
    </w:rPr>
  </w:style>
  <w:style w:type="character" w:styleId="FollowedHyperlink">
    <w:name w:val="FollowedHyperlink"/>
    <w:basedOn w:val="DefaultParagraphFont"/>
    <w:uiPriority w:val="99"/>
    <w:semiHidden/>
    <w:unhideWhenUsed/>
    <w:rsid w:val="005570A7"/>
    <w:rPr>
      <w:color w:val="954F72" w:themeColor="followedHyperlink"/>
      <w:u w:val="single"/>
    </w:rPr>
  </w:style>
  <w:style w:type="character" w:customStyle="1" w:styleId="UnresolvedMention5">
    <w:name w:val="Unresolved Mention5"/>
    <w:basedOn w:val="DefaultParagraphFont"/>
    <w:uiPriority w:val="99"/>
    <w:semiHidden/>
    <w:unhideWhenUsed/>
    <w:rsid w:val="00530A9C"/>
    <w:rPr>
      <w:color w:val="605E5C"/>
      <w:shd w:val="clear" w:color="auto" w:fill="E1DFDD"/>
    </w:rPr>
  </w:style>
  <w:style w:type="character" w:customStyle="1" w:styleId="UnresolvedMention6">
    <w:name w:val="Unresolved Mention6"/>
    <w:basedOn w:val="DefaultParagraphFont"/>
    <w:uiPriority w:val="99"/>
    <w:semiHidden/>
    <w:unhideWhenUsed/>
    <w:rsid w:val="00FC56CD"/>
    <w:rPr>
      <w:color w:val="605E5C"/>
      <w:shd w:val="clear" w:color="auto" w:fill="E1DFDD"/>
    </w:rPr>
  </w:style>
  <w:style w:type="character" w:customStyle="1" w:styleId="UnresolvedMention7">
    <w:name w:val="Unresolved Mention7"/>
    <w:basedOn w:val="DefaultParagraphFont"/>
    <w:uiPriority w:val="99"/>
    <w:semiHidden/>
    <w:unhideWhenUsed/>
    <w:rsid w:val="0091382B"/>
    <w:rPr>
      <w:color w:val="605E5C"/>
      <w:shd w:val="clear" w:color="auto" w:fill="E1DFDD"/>
    </w:rPr>
  </w:style>
  <w:style w:type="character" w:customStyle="1" w:styleId="content">
    <w:name w:val="content"/>
    <w:basedOn w:val="DefaultParagraphFont"/>
    <w:rsid w:val="00EA03CE"/>
  </w:style>
  <w:style w:type="character" w:customStyle="1" w:styleId="heading2">
    <w:name w:val="heading2"/>
    <w:basedOn w:val="DefaultParagraphFont"/>
    <w:rsid w:val="003A1306"/>
  </w:style>
  <w:style w:type="paragraph" w:styleId="ListParagraph">
    <w:name w:val="List Paragraph"/>
    <w:basedOn w:val="Normal"/>
    <w:uiPriority w:val="34"/>
    <w:qFormat/>
    <w:rsid w:val="00454BD6"/>
    <w:pPr>
      <w:ind w:left="720"/>
      <w:contextualSpacing/>
    </w:pPr>
  </w:style>
  <w:style w:type="paragraph" w:styleId="BalloonText">
    <w:name w:val="Balloon Text"/>
    <w:basedOn w:val="Normal"/>
    <w:link w:val="BalloonTextChar"/>
    <w:uiPriority w:val="99"/>
    <w:semiHidden/>
    <w:unhideWhenUsed/>
    <w:rsid w:val="00402C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E3"/>
    <w:rPr>
      <w:rFonts w:ascii="Lucida Grande" w:hAnsi="Lucida Grande" w:cs="Lucida Grande"/>
      <w:sz w:val="18"/>
      <w:szCs w:val="18"/>
    </w:rPr>
  </w:style>
  <w:style w:type="character" w:styleId="UnresolvedMention">
    <w:name w:val="Unresolved Mention"/>
    <w:basedOn w:val="DefaultParagraphFont"/>
    <w:uiPriority w:val="99"/>
    <w:semiHidden/>
    <w:unhideWhenUsed/>
    <w:rsid w:val="00206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1969">
      <w:bodyDiv w:val="1"/>
      <w:marLeft w:val="0"/>
      <w:marRight w:val="0"/>
      <w:marTop w:val="0"/>
      <w:marBottom w:val="0"/>
      <w:divBdr>
        <w:top w:val="none" w:sz="0" w:space="0" w:color="auto"/>
        <w:left w:val="none" w:sz="0" w:space="0" w:color="auto"/>
        <w:bottom w:val="none" w:sz="0" w:space="0" w:color="auto"/>
        <w:right w:val="none" w:sz="0" w:space="0" w:color="auto"/>
      </w:divBdr>
    </w:div>
    <w:div w:id="513686266">
      <w:bodyDiv w:val="1"/>
      <w:marLeft w:val="0"/>
      <w:marRight w:val="0"/>
      <w:marTop w:val="0"/>
      <w:marBottom w:val="0"/>
      <w:divBdr>
        <w:top w:val="none" w:sz="0" w:space="0" w:color="auto"/>
        <w:left w:val="none" w:sz="0" w:space="0" w:color="auto"/>
        <w:bottom w:val="none" w:sz="0" w:space="0" w:color="auto"/>
        <w:right w:val="none" w:sz="0" w:space="0" w:color="auto"/>
      </w:divBdr>
    </w:div>
    <w:div w:id="1162702384">
      <w:bodyDiv w:val="1"/>
      <w:marLeft w:val="0"/>
      <w:marRight w:val="0"/>
      <w:marTop w:val="0"/>
      <w:marBottom w:val="0"/>
      <w:divBdr>
        <w:top w:val="none" w:sz="0" w:space="0" w:color="auto"/>
        <w:left w:val="none" w:sz="0" w:space="0" w:color="auto"/>
        <w:bottom w:val="none" w:sz="0" w:space="0" w:color="auto"/>
        <w:right w:val="none" w:sz="0" w:space="0" w:color="auto"/>
      </w:divBdr>
    </w:div>
    <w:div w:id="1373772356">
      <w:bodyDiv w:val="1"/>
      <w:marLeft w:val="0"/>
      <w:marRight w:val="0"/>
      <w:marTop w:val="0"/>
      <w:marBottom w:val="0"/>
      <w:divBdr>
        <w:top w:val="none" w:sz="0" w:space="0" w:color="auto"/>
        <w:left w:val="none" w:sz="0" w:space="0" w:color="auto"/>
        <w:bottom w:val="none" w:sz="0" w:space="0" w:color="auto"/>
        <w:right w:val="none" w:sz="0" w:space="0" w:color="auto"/>
      </w:divBdr>
    </w:div>
    <w:div w:id="1652172083">
      <w:bodyDiv w:val="1"/>
      <w:marLeft w:val="0"/>
      <w:marRight w:val="0"/>
      <w:marTop w:val="0"/>
      <w:marBottom w:val="0"/>
      <w:divBdr>
        <w:top w:val="none" w:sz="0" w:space="0" w:color="auto"/>
        <w:left w:val="none" w:sz="0" w:space="0" w:color="auto"/>
        <w:bottom w:val="none" w:sz="0" w:space="0" w:color="auto"/>
        <w:right w:val="none" w:sz="0" w:space="0" w:color="auto"/>
      </w:divBdr>
    </w:div>
    <w:div w:id="1694769490">
      <w:bodyDiv w:val="1"/>
      <w:marLeft w:val="0"/>
      <w:marRight w:val="0"/>
      <w:marTop w:val="0"/>
      <w:marBottom w:val="0"/>
      <w:divBdr>
        <w:top w:val="none" w:sz="0" w:space="0" w:color="auto"/>
        <w:left w:val="none" w:sz="0" w:space="0" w:color="auto"/>
        <w:bottom w:val="none" w:sz="0" w:space="0" w:color="auto"/>
        <w:right w:val="none" w:sz="0" w:space="0" w:color="auto"/>
      </w:divBdr>
    </w:div>
    <w:div w:id="1697270080">
      <w:bodyDiv w:val="1"/>
      <w:marLeft w:val="0"/>
      <w:marRight w:val="0"/>
      <w:marTop w:val="0"/>
      <w:marBottom w:val="0"/>
      <w:divBdr>
        <w:top w:val="none" w:sz="0" w:space="0" w:color="auto"/>
        <w:left w:val="none" w:sz="0" w:space="0" w:color="auto"/>
        <w:bottom w:val="none" w:sz="0" w:space="0" w:color="auto"/>
        <w:right w:val="none" w:sz="0" w:space="0" w:color="auto"/>
      </w:divBdr>
    </w:div>
    <w:div w:id="1802653588">
      <w:bodyDiv w:val="1"/>
      <w:marLeft w:val="0"/>
      <w:marRight w:val="0"/>
      <w:marTop w:val="0"/>
      <w:marBottom w:val="0"/>
      <w:divBdr>
        <w:top w:val="none" w:sz="0" w:space="0" w:color="auto"/>
        <w:left w:val="none" w:sz="0" w:space="0" w:color="auto"/>
        <w:bottom w:val="none" w:sz="0" w:space="0" w:color="auto"/>
        <w:right w:val="none" w:sz="0" w:space="0" w:color="auto"/>
      </w:divBdr>
    </w:div>
    <w:div w:id="1839037516">
      <w:bodyDiv w:val="1"/>
      <w:marLeft w:val="0"/>
      <w:marRight w:val="0"/>
      <w:marTop w:val="0"/>
      <w:marBottom w:val="0"/>
      <w:divBdr>
        <w:top w:val="none" w:sz="0" w:space="0" w:color="auto"/>
        <w:left w:val="none" w:sz="0" w:space="0" w:color="auto"/>
        <w:bottom w:val="none" w:sz="0" w:space="0" w:color="auto"/>
        <w:right w:val="none" w:sz="0" w:space="0" w:color="auto"/>
      </w:divBdr>
    </w:div>
    <w:div w:id="208830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ga.gov/legislation/fulltext.asp?DocName=10200HB0816enr&amp;GA=102&amp;SessionId=110&amp;DocTypeId=HB&amp;LegID=129384&amp;DocNum=816&amp;GAID=16&amp;SpecSess=&amp;Session=" TargetMode="External"/><Relationship Id="rId18" Type="http://schemas.openxmlformats.org/officeDocument/2006/relationships/hyperlink" Target="https://www.ilga.gov/legislation/fulltext.asp?DocName=&amp;SessionId=110&amp;GA=102&amp;DocTypeId=HB&amp;DocNum=1957&amp;GAID=16&amp;LegID=130704&amp;SpecSess=&amp;Session=" TargetMode="External"/><Relationship Id="rId26" Type="http://schemas.openxmlformats.org/officeDocument/2006/relationships/hyperlink" Target="https://www.ilga.gov/legislation/fulltext.asp?DocName=&amp;SessionId=110&amp;GA=102&amp;DocTypeId=HB&amp;DocNum=3308&amp;GAID=16&amp;LegID=132242&amp;SpecSess=&amp;Session=" TargetMode="External"/><Relationship Id="rId39" Type="http://schemas.openxmlformats.org/officeDocument/2006/relationships/hyperlink" Target="https://www.ilga.gov/legislation/fulltext.asp?DocName=&amp;SessionId=110&amp;GA=102&amp;DocTypeId=SB&amp;DocNum=1588&amp;GAID=16&amp;LegID=134221&amp;SpecSess=&amp;Session=" TargetMode="External"/><Relationship Id="rId21" Type="http://schemas.openxmlformats.org/officeDocument/2006/relationships/hyperlink" Target="https://www.ilga.gov/legislation/fulltext.asp?DocName=&amp;SessionId=110&amp;GA=102&amp;DocTypeId=HB&amp;DocNum=2405&amp;GAID=16&amp;LegID=131163&amp;SpecSess=&amp;Session=" TargetMode="External"/><Relationship Id="rId34" Type="http://schemas.openxmlformats.org/officeDocument/2006/relationships/hyperlink" Target="https://www.ilga.gov/legislation/fulltext.asp?DocName=&amp;SessionId=110&amp;GA=102&amp;DocTypeId=SB&amp;DocNum=567&amp;GAID=16&amp;LegID=133160&amp;SpecSess=&amp;Session=" TargetMode="External"/><Relationship Id="rId42" Type="http://schemas.openxmlformats.org/officeDocument/2006/relationships/hyperlink" Target="https://www.ilga.gov/legislation/fulltext.asp?DocName=10200SB1847enr&amp;GA=102&amp;SessionId=110&amp;DocTypeId=SB&amp;LegID=134501&amp;DocNum=1847&amp;GAID=16&amp;SpecSess=&amp;Session=" TargetMode="External"/><Relationship Id="rId47" Type="http://schemas.openxmlformats.org/officeDocument/2006/relationships/hyperlink" Target="https://www.ilga.gov/legislation/fulltext.asp?DocName=&amp;SessionId=110&amp;GA=102&amp;DocTypeId=SB&amp;DocNum=1974&amp;GAID=16&amp;LegID=134630&amp;SpecSess=&amp;Session=" TargetMode="External"/><Relationship Id="rId50" Type="http://schemas.openxmlformats.org/officeDocument/2006/relationships/hyperlink" Target="https://www.ilga.gov/legislation/fulltext.asp?DocName=&amp;SessionId=110&amp;GA=102&amp;DocTypeId=SB&amp;DocNum=2294&amp;GAID=16&amp;LegID=134948&amp;SpecSess=&amp;Sess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lga.gov/legislation/fulltext.asp?DocName=&amp;SessionId=110&amp;GA=102&amp;DocTypeId=HB&amp;DocNum=1955&amp;GAID=16&amp;LegID=130702&amp;SpecSess=&amp;Session=" TargetMode="External"/><Relationship Id="rId29" Type="http://schemas.openxmlformats.org/officeDocument/2006/relationships/hyperlink" Target="https://www.ilga.gov/legislation/fulltext.asp?DocName=&amp;SessionId=110&amp;GA=102&amp;DocTypeId=SB&amp;DocNum=147&amp;GAID=16&amp;LegID=129114&amp;SpecSess=&amp;Session=" TargetMode="External"/><Relationship Id="rId11" Type="http://schemas.openxmlformats.org/officeDocument/2006/relationships/hyperlink" Target="https://www.ilga.gov/legislation/fulltext.asp?DocName=&amp;SessionId=110&amp;GA=102&amp;DocTypeId=HB&amp;DocNum=135&amp;GAID=16&amp;LegID=127947&amp;SpecSess=&amp;Session=" TargetMode="External"/><Relationship Id="rId24" Type="http://schemas.openxmlformats.org/officeDocument/2006/relationships/hyperlink" Target="https://www.ilga.gov/legislation/fulltext.asp?DocName=&amp;SessionId=110&amp;GA=102&amp;DocTypeId=HB&amp;DocNum=3175&amp;GAID=16&amp;LegID=132100&amp;SpecSess=&amp;Session=" TargetMode="External"/><Relationship Id="rId32" Type="http://schemas.openxmlformats.org/officeDocument/2006/relationships/hyperlink" Target="https://www.ilga.gov/legislation/fulltext.asp?DocName=&amp;SessionId=110&amp;GA=102&amp;DocTypeId=SB&amp;DocNum=493&amp;GAID=16&amp;LegID=133065&amp;SpecSess=&amp;Session=" TargetMode="External"/><Relationship Id="rId37" Type="http://schemas.openxmlformats.org/officeDocument/2006/relationships/hyperlink" Target="https://www.ilga.gov/legislation/102/SB/PDF/10200SB0967sam001.pdf" TargetMode="External"/><Relationship Id="rId40" Type="http://schemas.openxmlformats.org/officeDocument/2006/relationships/hyperlink" Target="https://www.ilga.gov/legislation/fulltext.asp?DocName=&amp;SessionId=110&amp;GA=102&amp;DocTypeId=SB&amp;DocNum=1592&amp;GAID=16&amp;LegID=134225&amp;SpecSess=&amp;Session=" TargetMode="External"/><Relationship Id="rId45" Type="http://schemas.openxmlformats.org/officeDocument/2006/relationships/hyperlink" Target="https://www.ilga.gov/legislation/fulltext.asp?DocName=&amp;SessionId=110&amp;GA=102&amp;DocTypeId=SB&amp;DocNum=1876&amp;GAID=16&amp;LegID=134530&amp;SpecSess=&amp;Session="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ilga.gov/legislation/fulltext.asp?DocName=&amp;SessionId=110&amp;GA=102&amp;DocTypeId=HB&amp;DocNum=117&amp;GAID=16&amp;LegID=127929&amp;SpecSess=&amp;Session=" TargetMode="External"/><Relationship Id="rId19" Type="http://schemas.openxmlformats.org/officeDocument/2006/relationships/hyperlink" Target="https://www.ilga.gov/legislation/fulltext.asp?DocName=&amp;SessionId=110&amp;GA=102&amp;DocTypeId=SB&amp;DocNum=2410&amp;GAID=16&amp;LegID=135064&amp;SpecSess=&amp;Session=" TargetMode="External"/><Relationship Id="rId31" Type="http://schemas.openxmlformats.org/officeDocument/2006/relationships/hyperlink" Target="https://www.ilga.gov/legislation/fulltext.asp?DocName=&amp;SessionId=110&amp;GA=102&amp;DocTypeId=SB&amp;DocNum=471&amp;GAID=16&amp;LegID=132865&amp;SpecSess=&amp;Session=" TargetMode="External"/><Relationship Id="rId44" Type="http://schemas.openxmlformats.org/officeDocument/2006/relationships/hyperlink" Target="https://www.ilga.gov/legislation/fulltext.asp?DocName=&amp;SessionId=110&amp;GA=102&amp;DocTypeId=SB&amp;DocNum=1854&amp;GAID=16&amp;LegID=134508&amp;SpecSess=&amp;Sessio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lga.gov/legislation/fulltext.asp?DocName=&amp;SessionId=110&amp;GA=102&amp;DocTypeId=HB&amp;DocNum=53&amp;GAID=16&amp;LegID=127865&amp;SpecSess=&amp;Session=" TargetMode="External"/><Relationship Id="rId14" Type="http://schemas.openxmlformats.org/officeDocument/2006/relationships/hyperlink" Target="https://www.ilga.gov/legislation/102/HB/PDF/10200HB1745lv.pdf" TargetMode="External"/><Relationship Id="rId22" Type="http://schemas.openxmlformats.org/officeDocument/2006/relationships/hyperlink" Target="https://www.ilga.gov/legislation/fulltext.asp?DocName=&amp;SessionId=110&amp;GA=102&amp;DocTypeId=HB&amp;DocNum=2589&amp;GAID=16&amp;LegID=131409&amp;SpecSess=&amp;Session=" TargetMode="External"/><Relationship Id="rId27" Type="http://schemas.openxmlformats.org/officeDocument/2006/relationships/hyperlink" Target="https://www.ilga.gov/legislation/fulltext.asp?DocName=&amp;SessionId=110&amp;GA=102&amp;DocTypeId=HB&amp;DocNum=3598&amp;GAID=16&amp;LegID=132638&amp;SpecSess=&amp;Session=" TargetMode="External"/><Relationship Id="rId30" Type="http://schemas.openxmlformats.org/officeDocument/2006/relationships/hyperlink" Target="https://www.ilga.gov/legislation/fulltext.asp?DocName=&amp;SessionId=110&amp;GA=102&amp;DocTypeId=SB&amp;DocNum=332&amp;GAID=16&amp;LegID=131695&amp;SpecSess=&amp;Session=" TargetMode="External"/><Relationship Id="rId35" Type="http://schemas.openxmlformats.org/officeDocument/2006/relationships/hyperlink" Target="https://www.ilga.gov/legislation/fulltext.asp?DocName=10200SB0672ham001&amp;GA=102&amp;SessionId=110&amp;DocTypeId=SB&amp;LegID=133278&amp;DocNum=672&amp;GAID=16&amp;SpecSess=&amp;Session=" TargetMode="External"/><Relationship Id="rId43" Type="http://schemas.openxmlformats.org/officeDocument/2006/relationships/hyperlink" Target="https://www.ilga.gov/legislation/publicacts/101/PDF/101-0656.pdf" TargetMode="External"/><Relationship Id="rId48" Type="http://schemas.openxmlformats.org/officeDocument/2006/relationships/hyperlink" Target="https://www.ilga.gov/legislation/fulltext.asp?DocName=&amp;SessionId=110&amp;GA=102&amp;DocTypeId=SB&amp;DocNum=2112&amp;GAID=16&amp;LegID=134763&amp;SpecSess=&amp;Session=" TargetMode="External"/><Relationship Id="rId8" Type="http://schemas.openxmlformats.org/officeDocument/2006/relationships/hyperlink" Target="https://www.ilga.gov/legislation/fulltext.asp?DocName=&amp;SessionId=110&amp;GA=102&amp;DocTypeId=HB&amp;DocNum=33&amp;GAID=16&amp;LegID=127844&amp;SpecSess=&amp;Session="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ilga.gov/legislation/fulltext.asp?DocName=&amp;SessionId=110&amp;GA=102&amp;DocTypeId=HB&amp;DocNum=711&amp;GAID=16&amp;LegID=129232&amp;SpecSess=&amp;Session=" TargetMode="External"/><Relationship Id="rId17" Type="http://schemas.openxmlformats.org/officeDocument/2006/relationships/hyperlink" Target="https://www.ilga.gov/legislation/fulltext.asp?DocName=&amp;SessionId=110&amp;GA=102&amp;DocTypeId=SB&amp;DocNum=2409&amp;GAID=16&amp;LegID=135063&amp;SpecSess=&amp;Session=" TargetMode="External"/><Relationship Id="rId25" Type="http://schemas.openxmlformats.org/officeDocument/2006/relationships/hyperlink" Target="https://www.ilga.gov/legislation/fulltext.asp?DocName=&amp;SessionId=110&amp;GA=102&amp;DocTypeId=SB&amp;DocNum=2294&amp;GAID=16&amp;LegID=134948&amp;SpecSess=&amp;Session=" TargetMode="External"/><Relationship Id="rId33" Type="http://schemas.openxmlformats.org/officeDocument/2006/relationships/hyperlink" Target="https://www.ilga.gov/legislation/fulltext.asp?DocName=&amp;SessionId=110&amp;GA=102&amp;DocTypeId=SB&amp;DocNum=499&amp;GAID=16&amp;LegID=133072&amp;SpecSess=&amp;Session=" TargetMode="External"/><Relationship Id="rId38" Type="http://schemas.openxmlformats.org/officeDocument/2006/relationships/hyperlink" Target="https://www.ilga.gov/legislation/102/SB/PDF/10200SB1096sam001.pdf" TargetMode="External"/><Relationship Id="rId46" Type="http://schemas.openxmlformats.org/officeDocument/2006/relationships/hyperlink" Target="https://www.ilga.gov/legislation/fulltext.asp?DocName=&amp;SessionId=110&amp;GA=102&amp;DocTypeId=SB&amp;DocNum=1905&amp;GAID=16&amp;LegID=134559&amp;SpecSess=&amp;Session=" TargetMode="External"/><Relationship Id="rId20" Type="http://schemas.openxmlformats.org/officeDocument/2006/relationships/hyperlink" Target="https://www.ilga.gov/legislation/102/HB/PDF/10200HB2109ham001.pdf" TargetMode="External"/><Relationship Id="rId41" Type="http://schemas.openxmlformats.org/officeDocument/2006/relationships/hyperlink" Target="https://www.ilga.gov/legislation/fulltext.asp?DocName=&amp;SessionId=110&amp;GA=102&amp;DocTypeId=SB&amp;DocNum=1682&amp;GAID=16&amp;LegID=134318&amp;SpecSess=&amp;Sess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lga.gov/legislation/fulltext.asp?DocName=&amp;SessionId=110&amp;GA=102&amp;DocTypeId=HB&amp;DocNum=1779&amp;GAID=16&amp;LegID=130484&amp;SpecSess=&amp;Session=" TargetMode="External"/><Relationship Id="rId23" Type="http://schemas.openxmlformats.org/officeDocument/2006/relationships/hyperlink" Target="https://www.ilga.gov/legislation/fulltext.asp?DocName=&amp;SessionId=110&amp;GA=102&amp;DocTypeId=SB&amp;DocNum=679&amp;GAID=16&amp;LegID=133286&amp;SpecSess=&amp;Session=" TargetMode="External"/><Relationship Id="rId28" Type="http://schemas.openxmlformats.org/officeDocument/2006/relationships/hyperlink" Target="https://www.ilga.gov/legislation/fulltext.asp?DocName=&amp;SessionId=110&amp;GA=102&amp;DocTypeId=HB&amp;DocNum=3709&amp;GAID=16&amp;LegID=132757&amp;SpecSess=&amp;Session=" TargetMode="External"/><Relationship Id="rId36" Type="http://schemas.openxmlformats.org/officeDocument/2006/relationships/hyperlink" Target="https://www.ilga.gov/legislation/102/SB/PDF/10200SB0930sam001.pdf" TargetMode="External"/><Relationship Id="rId49" Type="http://schemas.openxmlformats.org/officeDocument/2006/relationships/hyperlink" Target="https://www.ilga.gov/legislation/fulltext.asp?DocName=&amp;SessionId=110&amp;GA=102&amp;DocTypeId=SB&amp;DocNum=2158&amp;GAID=16&amp;LegID=134811&amp;SpecSess=&amp;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A6A2-A16A-47CB-B4F6-96D3DA09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4688</Words>
  <Characters>26728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Minzer</dc:creator>
  <cp:keywords/>
  <dc:description/>
  <cp:lastModifiedBy>Susan List</cp:lastModifiedBy>
  <cp:revision>2</cp:revision>
  <cp:lastPrinted>2021-06-01T19:59:00Z</cp:lastPrinted>
  <dcterms:created xsi:type="dcterms:W3CDTF">2021-06-29T16:31:00Z</dcterms:created>
  <dcterms:modified xsi:type="dcterms:W3CDTF">2021-06-29T16:31:00Z</dcterms:modified>
</cp:coreProperties>
</file>